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FA23" w14:textId="77777777" w:rsidR="002F24D6" w:rsidRPr="00390FA5" w:rsidRDefault="002F24D6" w:rsidP="002F24D6">
      <w:pPr>
        <w:jc w:val="center"/>
        <w:rPr>
          <w:rFonts w:ascii="Georgia" w:hAnsi="Georgia"/>
          <w:b/>
          <w:bCs/>
        </w:rPr>
      </w:pPr>
      <w:r w:rsidRPr="00390FA5">
        <w:rPr>
          <w:rFonts w:ascii="Georgia" w:hAnsi="Georgia"/>
          <w:b/>
          <w:bCs/>
        </w:rPr>
        <w:t>NEW DIRECTIONS IN POLITICAL TRUST RESEARCH WORKSHOP</w:t>
      </w:r>
    </w:p>
    <w:p w14:paraId="1A6C072E" w14:textId="77777777" w:rsidR="002F24D6" w:rsidRPr="00390FA5" w:rsidRDefault="002F24D6" w:rsidP="002F24D6">
      <w:pPr>
        <w:jc w:val="center"/>
        <w:rPr>
          <w:rFonts w:ascii="Georgia" w:hAnsi="Georgia"/>
          <w:b/>
          <w:bCs/>
        </w:rPr>
      </w:pPr>
    </w:p>
    <w:p w14:paraId="3D5C29EE" w14:textId="77777777" w:rsidR="002F24D6" w:rsidRDefault="002F24D6" w:rsidP="002F24D6">
      <w:pPr>
        <w:jc w:val="center"/>
        <w:rPr>
          <w:rFonts w:ascii="Georgia" w:hAnsi="Georgia"/>
          <w:b/>
        </w:rPr>
      </w:pPr>
    </w:p>
    <w:p w14:paraId="7EB7D7B8" w14:textId="0F9B9E0D" w:rsidR="002F24D6" w:rsidRDefault="002F24D6" w:rsidP="002F24D6">
      <w:pPr>
        <w:jc w:val="center"/>
        <w:rPr>
          <w:rFonts w:ascii="Georgia" w:hAnsi="Georgia"/>
          <w:b/>
        </w:rPr>
      </w:pPr>
      <w:r w:rsidRPr="002F24D6">
        <w:rPr>
          <w:rFonts w:ascii="Georgia" w:hAnsi="Georgia"/>
          <w:b/>
          <w:i/>
          <w:iCs/>
        </w:rPr>
        <w:t>How can we overcome ‘spirals of distrust’?</w:t>
      </w:r>
      <w:r w:rsidRPr="002F24D6">
        <w:rPr>
          <w:rFonts w:ascii="Georgia" w:hAnsi="Georgia"/>
          <w:b/>
        </w:rPr>
        <w:t> </w:t>
      </w:r>
      <w:r w:rsidR="00F94D16">
        <w:rPr>
          <w:rFonts w:ascii="Georgia" w:hAnsi="Georgia"/>
          <w:b/>
        </w:rPr>
        <w:t>A reflection on the</w:t>
      </w:r>
      <w:r>
        <w:rPr>
          <w:rFonts w:ascii="Georgia" w:hAnsi="Georgia"/>
          <w:b/>
        </w:rPr>
        <w:t xml:space="preserve"> importance of trust perceptions.</w:t>
      </w:r>
    </w:p>
    <w:p w14:paraId="17A7D073" w14:textId="77777777" w:rsidR="002F24D6" w:rsidRPr="00390FA5" w:rsidRDefault="002F24D6" w:rsidP="002F24D6">
      <w:pPr>
        <w:jc w:val="center"/>
        <w:rPr>
          <w:rFonts w:ascii="Georgia" w:hAnsi="Georgia"/>
          <w:b/>
        </w:rPr>
      </w:pPr>
    </w:p>
    <w:p w14:paraId="37F318C6" w14:textId="5D743AB5" w:rsidR="00131862" w:rsidRDefault="002F24D6" w:rsidP="002F24D6">
      <w:pPr>
        <w:jc w:val="center"/>
        <w:rPr>
          <w:rFonts w:ascii="Georgia" w:hAnsi="Georgia"/>
          <w:bCs/>
        </w:rPr>
      </w:pPr>
      <w:r>
        <w:rPr>
          <w:rFonts w:ascii="Georgia" w:hAnsi="Georgia"/>
          <w:bCs/>
        </w:rPr>
        <w:t>James Weinberg, University of Sheffield</w:t>
      </w:r>
    </w:p>
    <w:p w14:paraId="351939E8" w14:textId="77777777" w:rsidR="002F24D6" w:rsidRDefault="002F24D6" w:rsidP="002F24D6">
      <w:pPr>
        <w:jc w:val="center"/>
        <w:rPr>
          <w:rFonts w:ascii="Georgia" w:hAnsi="Georgia"/>
          <w:bCs/>
        </w:rPr>
      </w:pPr>
    </w:p>
    <w:p w14:paraId="360DD46F" w14:textId="6731E92F" w:rsidR="001725E9" w:rsidRPr="001725E9" w:rsidRDefault="001725E9" w:rsidP="005631BA">
      <w:pPr>
        <w:jc w:val="both"/>
        <w:rPr>
          <w:rFonts w:ascii="Georgia" w:hAnsi="Georgia"/>
          <w:b/>
        </w:rPr>
      </w:pPr>
      <w:r w:rsidRPr="001725E9">
        <w:rPr>
          <w:rFonts w:ascii="Georgia" w:hAnsi="Georgia"/>
          <w:b/>
        </w:rPr>
        <w:t xml:space="preserve">Topic outline: </w:t>
      </w:r>
      <w:r w:rsidR="002C63BC">
        <w:rPr>
          <w:rFonts w:ascii="Georgia" w:hAnsi="Georgia"/>
          <w:b/>
        </w:rPr>
        <w:t>mapping a</w:t>
      </w:r>
      <w:r w:rsidRPr="001725E9">
        <w:rPr>
          <w:rFonts w:ascii="Georgia" w:hAnsi="Georgia"/>
          <w:b/>
        </w:rPr>
        <w:t xml:space="preserve"> ‘gap’</w:t>
      </w:r>
    </w:p>
    <w:p w14:paraId="27E1194F" w14:textId="77777777" w:rsidR="001725E9" w:rsidRDefault="001725E9" w:rsidP="005631BA">
      <w:pPr>
        <w:jc w:val="both"/>
        <w:rPr>
          <w:rFonts w:ascii="Georgia" w:hAnsi="Georgia"/>
          <w:bCs/>
        </w:rPr>
      </w:pPr>
    </w:p>
    <w:p w14:paraId="0F8E9E7B" w14:textId="4B9B8243" w:rsidR="004844E9" w:rsidRDefault="005631BA" w:rsidP="005631BA">
      <w:pPr>
        <w:jc w:val="both"/>
        <w:rPr>
          <w:rFonts w:ascii="Georgia" w:hAnsi="Georgia"/>
          <w:bCs/>
        </w:rPr>
      </w:pPr>
      <w:r w:rsidRPr="005631BA">
        <w:rPr>
          <w:rFonts w:ascii="Georgia" w:hAnsi="Georgia"/>
          <w:bCs/>
        </w:rPr>
        <w:t>Over twenty years ago, Clarke and Payne (1997, p.205) outlined four dominant approaches to the study of trust. The first understands trust as a personality trait or a general response pattern based upon socialisation. The second focuses on trust as an act and tends towards experimental research on trusting behaviours. The third takes trust as a property of collective units or a social reality to be explored by sociological theory. And the fourth breaks it down into content areas of individual perception regarding the ‘trustworthy’ characteristics of another in specific organisational settings.</w:t>
      </w:r>
      <w:r>
        <w:rPr>
          <w:rFonts w:ascii="Georgia" w:hAnsi="Georgia"/>
          <w:bCs/>
        </w:rPr>
        <w:t xml:space="preserve"> </w:t>
      </w:r>
    </w:p>
    <w:p w14:paraId="76E08C24" w14:textId="77777777" w:rsidR="004844E9" w:rsidRDefault="004844E9" w:rsidP="005631BA">
      <w:pPr>
        <w:jc w:val="both"/>
        <w:rPr>
          <w:rFonts w:ascii="Georgia" w:hAnsi="Georgia"/>
          <w:bCs/>
        </w:rPr>
      </w:pPr>
    </w:p>
    <w:p w14:paraId="607BA30C" w14:textId="26E1B471" w:rsidR="002F24D6" w:rsidRDefault="005631BA" w:rsidP="005631BA">
      <w:pPr>
        <w:jc w:val="both"/>
        <w:rPr>
          <w:rFonts w:ascii="Georgia" w:hAnsi="Georgia"/>
          <w:bCs/>
        </w:rPr>
      </w:pPr>
      <w:r>
        <w:rPr>
          <w:rFonts w:ascii="Georgia" w:hAnsi="Georgia"/>
          <w:bCs/>
        </w:rPr>
        <w:t xml:space="preserve">The last of these traditions has dominated </w:t>
      </w:r>
      <w:r w:rsidR="003207F8">
        <w:rPr>
          <w:rFonts w:ascii="Georgia" w:hAnsi="Georgia"/>
          <w:bCs/>
        </w:rPr>
        <w:t>the</w:t>
      </w:r>
      <w:r>
        <w:rPr>
          <w:rFonts w:ascii="Georgia" w:hAnsi="Georgia"/>
          <w:bCs/>
        </w:rPr>
        <w:t xml:space="preserve"> scholarship on </w:t>
      </w:r>
      <w:r>
        <w:rPr>
          <w:rFonts w:ascii="Georgia" w:hAnsi="Georgia"/>
          <w:bCs/>
          <w:i/>
          <w:iCs/>
        </w:rPr>
        <w:t xml:space="preserve">political </w:t>
      </w:r>
      <w:r>
        <w:rPr>
          <w:rFonts w:ascii="Georgia" w:hAnsi="Georgia"/>
          <w:bCs/>
        </w:rPr>
        <w:t xml:space="preserve">trust. Put simply, in situations of uncertainty, </w:t>
      </w:r>
      <w:r w:rsidRPr="005631BA">
        <w:rPr>
          <w:rFonts w:ascii="Georgia" w:hAnsi="Georgia"/>
          <w:bCs/>
        </w:rPr>
        <w:t xml:space="preserve">judgements about </w:t>
      </w:r>
      <w:r>
        <w:rPr>
          <w:rFonts w:ascii="Georgia" w:hAnsi="Georgia"/>
          <w:bCs/>
        </w:rPr>
        <w:t xml:space="preserve">the </w:t>
      </w:r>
      <w:r w:rsidRPr="005631BA">
        <w:rPr>
          <w:rFonts w:ascii="Georgia" w:hAnsi="Georgia"/>
          <w:bCs/>
        </w:rPr>
        <w:t>trustworthiness</w:t>
      </w:r>
      <w:r>
        <w:rPr>
          <w:rFonts w:ascii="Georgia" w:hAnsi="Georgia"/>
          <w:bCs/>
        </w:rPr>
        <w:t xml:space="preserve"> of a p</w:t>
      </w:r>
      <w:r w:rsidR="003207F8">
        <w:rPr>
          <w:rFonts w:ascii="Georgia" w:hAnsi="Georgia"/>
          <w:bCs/>
        </w:rPr>
        <w:t>olitician</w:t>
      </w:r>
      <w:r>
        <w:rPr>
          <w:rFonts w:ascii="Georgia" w:hAnsi="Georgia"/>
          <w:bCs/>
        </w:rPr>
        <w:t xml:space="preserve"> or </w:t>
      </w:r>
      <w:r w:rsidR="003207F8">
        <w:rPr>
          <w:rFonts w:ascii="Georgia" w:hAnsi="Georgia"/>
          <w:bCs/>
        </w:rPr>
        <w:t xml:space="preserve">a political </w:t>
      </w:r>
      <w:r>
        <w:rPr>
          <w:rFonts w:ascii="Georgia" w:hAnsi="Georgia"/>
          <w:bCs/>
        </w:rPr>
        <w:t xml:space="preserve">institution – </w:t>
      </w:r>
      <w:r w:rsidR="003815C2">
        <w:rPr>
          <w:rFonts w:ascii="Georgia" w:hAnsi="Georgia"/>
          <w:bCs/>
        </w:rPr>
        <w:t>such as</w:t>
      </w:r>
      <w:r>
        <w:rPr>
          <w:rFonts w:ascii="Georgia" w:hAnsi="Georgia"/>
          <w:bCs/>
        </w:rPr>
        <w:t xml:space="preserve"> characteristics related to competence, integrity and benevolence (Mayer et al., 1995) –</w:t>
      </w:r>
      <w:r w:rsidRPr="005631BA">
        <w:rPr>
          <w:rFonts w:ascii="Georgia" w:hAnsi="Georgia"/>
          <w:bCs/>
        </w:rPr>
        <w:t xml:space="preserve"> act as ‘psychological conduits’ (Hamm et al., 2019, p.2) that link our </w:t>
      </w:r>
      <w:r>
        <w:rPr>
          <w:rFonts w:ascii="Georgia" w:hAnsi="Georgia"/>
          <w:bCs/>
        </w:rPr>
        <w:t xml:space="preserve">prior </w:t>
      </w:r>
      <w:r w:rsidRPr="005631BA">
        <w:rPr>
          <w:rFonts w:ascii="Georgia" w:hAnsi="Georgia"/>
          <w:bCs/>
        </w:rPr>
        <w:t xml:space="preserve">experiences and evaluations of information about </w:t>
      </w:r>
      <w:r w:rsidR="003207F8">
        <w:rPr>
          <w:rFonts w:ascii="Georgia" w:hAnsi="Georgia"/>
          <w:bCs/>
        </w:rPr>
        <w:t>said</w:t>
      </w:r>
      <w:r w:rsidRPr="005631BA">
        <w:rPr>
          <w:rFonts w:ascii="Georgia" w:hAnsi="Georgia"/>
          <w:bCs/>
        </w:rPr>
        <w:t xml:space="preserve"> trustee with commensurate actions and attitudes</w:t>
      </w:r>
      <w:r>
        <w:rPr>
          <w:rFonts w:ascii="Georgia" w:hAnsi="Georgia"/>
          <w:bCs/>
        </w:rPr>
        <w:t xml:space="preserve"> typical of parent concepts such as trust, distrust or even mistrust</w:t>
      </w:r>
      <w:r w:rsidRPr="005631BA">
        <w:rPr>
          <w:rFonts w:ascii="Georgia" w:hAnsi="Georgia"/>
          <w:bCs/>
        </w:rPr>
        <w:t>.</w:t>
      </w:r>
      <w:r w:rsidR="00D20663">
        <w:rPr>
          <w:rFonts w:ascii="Georgia" w:hAnsi="Georgia"/>
          <w:bCs/>
        </w:rPr>
        <w:t xml:space="preserve"> </w:t>
      </w:r>
      <w:r w:rsidR="00D20663" w:rsidRPr="00D20663">
        <w:rPr>
          <w:rFonts w:ascii="Georgia" w:hAnsi="Georgia"/>
          <w:bCs/>
        </w:rPr>
        <w:t xml:space="preserve">In sum, </w:t>
      </w:r>
      <w:r w:rsidR="003815C2">
        <w:rPr>
          <w:rFonts w:ascii="Georgia" w:hAnsi="Georgia"/>
          <w:bCs/>
        </w:rPr>
        <w:t>trust</w:t>
      </w:r>
      <w:r w:rsidR="00D20663" w:rsidRPr="00D20663">
        <w:rPr>
          <w:rFonts w:ascii="Georgia" w:hAnsi="Georgia"/>
          <w:bCs/>
        </w:rPr>
        <w:t xml:space="preserve"> judgements entail a logical evaluation of the risk involved in </w:t>
      </w:r>
      <w:r w:rsidR="003207F8">
        <w:rPr>
          <w:rFonts w:ascii="Georgia" w:hAnsi="Georgia"/>
          <w:bCs/>
        </w:rPr>
        <w:t>making ourselves vulnerable to</w:t>
      </w:r>
      <w:r w:rsidR="00D20663" w:rsidRPr="00D20663">
        <w:rPr>
          <w:rFonts w:ascii="Georgia" w:hAnsi="Georgia"/>
          <w:bCs/>
        </w:rPr>
        <w:t xml:space="preserve"> </w:t>
      </w:r>
      <w:r w:rsidR="00D20663">
        <w:rPr>
          <w:rFonts w:ascii="Georgia" w:hAnsi="Georgia"/>
          <w:bCs/>
        </w:rPr>
        <w:t>someone else in a situation of uncertainty.</w:t>
      </w:r>
    </w:p>
    <w:p w14:paraId="3A688AE5" w14:textId="77777777" w:rsidR="00AB0BAE" w:rsidRDefault="00AB0BAE" w:rsidP="005631BA">
      <w:pPr>
        <w:jc w:val="both"/>
        <w:rPr>
          <w:rFonts w:ascii="Georgia" w:hAnsi="Georgia"/>
          <w:bCs/>
        </w:rPr>
      </w:pPr>
    </w:p>
    <w:p w14:paraId="50552E6C" w14:textId="176700B4" w:rsidR="004844E9" w:rsidRDefault="00AB0BAE" w:rsidP="005631BA">
      <w:pPr>
        <w:jc w:val="both"/>
        <w:rPr>
          <w:rFonts w:ascii="Georgia" w:hAnsi="Georgia"/>
          <w:bCs/>
        </w:rPr>
      </w:pPr>
      <w:r>
        <w:rPr>
          <w:rFonts w:ascii="Georgia" w:hAnsi="Georgia"/>
          <w:bCs/>
        </w:rPr>
        <w:t>A longstanding tranche of research has</w:t>
      </w:r>
      <w:r w:rsidR="003815C2">
        <w:rPr>
          <w:rFonts w:ascii="Georgia" w:hAnsi="Georgia"/>
          <w:bCs/>
        </w:rPr>
        <w:t xml:space="preserve"> </w:t>
      </w:r>
      <w:r>
        <w:rPr>
          <w:rFonts w:ascii="Georgia" w:hAnsi="Georgia"/>
          <w:bCs/>
        </w:rPr>
        <w:t xml:space="preserve">shown that not all trust judgements are cognitively evaluative or deliberative, and in most cases they </w:t>
      </w:r>
      <w:r w:rsidR="004844E9">
        <w:rPr>
          <w:rFonts w:ascii="Georgia" w:hAnsi="Georgia"/>
          <w:bCs/>
        </w:rPr>
        <w:t>rest on</w:t>
      </w:r>
      <w:r>
        <w:rPr>
          <w:rFonts w:ascii="Georgia" w:hAnsi="Georgia"/>
          <w:bCs/>
        </w:rPr>
        <w:t xml:space="preserve"> more affective, automatic or heuristic processes (e.g. </w:t>
      </w:r>
      <w:r w:rsidRPr="00F733B8">
        <w:rPr>
          <w:rFonts w:ascii="Georgia" w:hAnsi="Georgia"/>
        </w:rPr>
        <w:t>Metzger &amp; Flanagin 2013</w:t>
      </w:r>
      <w:r>
        <w:rPr>
          <w:rFonts w:ascii="Georgia" w:hAnsi="Georgia"/>
        </w:rPr>
        <w:t xml:space="preserve">; </w:t>
      </w:r>
      <w:r w:rsidRPr="00AB0BAE">
        <w:rPr>
          <w:rFonts w:ascii="Georgia" w:hAnsi="Georgia"/>
          <w:bCs/>
        </w:rPr>
        <w:t>Theiss-Morse &amp; Barton, 2017</w:t>
      </w:r>
      <w:r>
        <w:rPr>
          <w:rFonts w:ascii="Georgia" w:hAnsi="Georgia"/>
          <w:bCs/>
        </w:rPr>
        <w:t>; see also session 3 of this workshop).</w:t>
      </w:r>
      <w:r w:rsidR="004844E9">
        <w:rPr>
          <w:rFonts w:ascii="Georgia" w:hAnsi="Georgia"/>
          <w:bCs/>
        </w:rPr>
        <w:t xml:space="preserve"> In this respect, the extant body of research on political trust</w:t>
      </w:r>
      <w:r w:rsidR="00D20663">
        <w:rPr>
          <w:rFonts w:ascii="Georgia" w:hAnsi="Georgia"/>
          <w:bCs/>
        </w:rPr>
        <w:t xml:space="preserve"> </w:t>
      </w:r>
      <w:r w:rsidR="004844E9">
        <w:rPr>
          <w:rFonts w:ascii="Georgia" w:hAnsi="Georgia"/>
          <w:bCs/>
        </w:rPr>
        <w:t>suggest</w:t>
      </w:r>
      <w:r w:rsidR="00D20663">
        <w:rPr>
          <w:rFonts w:ascii="Georgia" w:hAnsi="Georgia"/>
          <w:bCs/>
        </w:rPr>
        <w:t>s</w:t>
      </w:r>
      <w:r w:rsidR="004844E9">
        <w:rPr>
          <w:rFonts w:ascii="Georgia" w:hAnsi="Georgia"/>
          <w:bCs/>
        </w:rPr>
        <w:t xml:space="preserve"> that the fourth ‘approach’ outlined by Clark and Payne cannot be taken in isolation of the other three. </w:t>
      </w:r>
      <w:r w:rsidR="003815C2">
        <w:rPr>
          <w:rFonts w:ascii="Georgia" w:hAnsi="Georgia"/>
          <w:bCs/>
        </w:rPr>
        <w:t>At the same time</w:t>
      </w:r>
      <w:r w:rsidR="004844E9">
        <w:rPr>
          <w:rFonts w:ascii="Georgia" w:hAnsi="Georgia"/>
          <w:bCs/>
        </w:rPr>
        <w:t xml:space="preserve">, the ‘messiness’ of political trust judgements </w:t>
      </w:r>
      <w:r w:rsidR="003815C2">
        <w:rPr>
          <w:rFonts w:ascii="Georgia" w:hAnsi="Georgia"/>
          <w:bCs/>
        </w:rPr>
        <w:t xml:space="preserve">documented in existing research </w:t>
      </w:r>
      <w:r w:rsidR="004844E9">
        <w:rPr>
          <w:rFonts w:ascii="Georgia" w:hAnsi="Georgia"/>
          <w:bCs/>
        </w:rPr>
        <w:t xml:space="preserve">suggests that </w:t>
      </w:r>
      <w:r w:rsidR="004844E9" w:rsidRPr="004844E9">
        <w:rPr>
          <w:rFonts w:ascii="Georgia" w:hAnsi="Georgia"/>
          <w:bCs/>
          <w:i/>
          <w:iCs/>
        </w:rPr>
        <w:t>mis</w:t>
      </w:r>
      <w:r w:rsidR="004844E9">
        <w:rPr>
          <w:rFonts w:ascii="Georgia" w:hAnsi="Georgia"/>
          <w:bCs/>
        </w:rPr>
        <w:t>perceptions of an actor’s trustworthiness are possible, commonplace, and lead to expressions of trust and distrust that are not objectively warranted (for a discussion, see Norris, 2022).</w:t>
      </w:r>
    </w:p>
    <w:p w14:paraId="0C4A67C2" w14:textId="77777777" w:rsidR="004844E9" w:rsidRDefault="004844E9" w:rsidP="005631BA">
      <w:pPr>
        <w:jc w:val="both"/>
        <w:rPr>
          <w:rFonts w:ascii="Georgia" w:hAnsi="Georgia"/>
          <w:bCs/>
        </w:rPr>
      </w:pPr>
    </w:p>
    <w:p w14:paraId="7D60685D" w14:textId="7EC7D5AA" w:rsidR="00AB0BAE" w:rsidRDefault="003815C2" w:rsidP="005631BA">
      <w:pPr>
        <w:jc w:val="both"/>
        <w:rPr>
          <w:rFonts w:ascii="Georgia" w:hAnsi="Georgia"/>
          <w:bCs/>
        </w:rPr>
      </w:pPr>
      <w:r>
        <w:rPr>
          <w:rFonts w:ascii="Georgia" w:hAnsi="Georgia"/>
          <w:bCs/>
        </w:rPr>
        <w:t>Yet d</w:t>
      </w:r>
      <w:r w:rsidR="004844E9">
        <w:rPr>
          <w:rFonts w:ascii="Georgia" w:hAnsi="Georgia"/>
          <w:bCs/>
        </w:rPr>
        <w:t xml:space="preserve">espite </w:t>
      </w:r>
      <w:r w:rsidR="00D20663">
        <w:rPr>
          <w:rFonts w:ascii="Georgia" w:hAnsi="Georgia"/>
          <w:bCs/>
        </w:rPr>
        <w:t>the</w:t>
      </w:r>
      <w:r w:rsidR="003207F8">
        <w:rPr>
          <w:rFonts w:ascii="Georgia" w:hAnsi="Georgia"/>
          <w:bCs/>
        </w:rPr>
        <w:t xml:space="preserve"> widespread</w:t>
      </w:r>
      <w:r w:rsidR="00D20663">
        <w:rPr>
          <w:rFonts w:ascii="Georgia" w:hAnsi="Georgia"/>
          <w:bCs/>
        </w:rPr>
        <w:t xml:space="preserve"> acknowledgement that (a)</w:t>
      </w:r>
      <w:r w:rsidR="004844E9">
        <w:rPr>
          <w:rFonts w:ascii="Georgia" w:hAnsi="Georgia"/>
          <w:bCs/>
        </w:rPr>
        <w:t xml:space="preserve"> </w:t>
      </w:r>
      <w:r w:rsidR="00D20663">
        <w:rPr>
          <w:rFonts w:ascii="Georgia" w:hAnsi="Georgia"/>
          <w:bCs/>
        </w:rPr>
        <w:t xml:space="preserve">political trust is relational and (b) its outcomes may depend </w:t>
      </w:r>
      <w:r w:rsidR="00C0511C">
        <w:rPr>
          <w:rFonts w:ascii="Georgia" w:hAnsi="Georgia"/>
          <w:bCs/>
        </w:rPr>
        <w:t>on</w:t>
      </w:r>
      <w:r w:rsidR="00984B93">
        <w:rPr>
          <w:rFonts w:ascii="Georgia" w:hAnsi="Georgia"/>
          <w:bCs/>
        </w:rPr>
        <w:t xml:space="preserve"> citizens’</w:t>
      </w:r>
      <w:r w:rsidR="00C0511C">
        <w:rPr>
          <w:rFonts w:ascii="Georgia" w:hAnsi="Georgia"/>
          <w:bCs/>
        </w:rPr>
        <w:t xml:space="preserve"> flawed perceptions of trustworthiness</w:t>
      </w:r>
      <w:r w:rsidR="00D20663">
        <w:rPr>
          <w:rFonts w:ascii="Georgia" w:hAnsi="Georgia"/>
          <w:bCs/>
        </w:rPr>
        <w:t xml:space="preserve">, there has been a surprising dearth of research about the </w:t>
      </w:r>
      <w:r w:rsidR="00D20663" w:rsidRPr="003207F8">
        <w:rPr>
          <w:rFonts w:ascii="Georgia" w:hAnsi="Georgia"/>
          <w:bCs/>
          <w:i/>
          <w:iCs/>
        </w:rPr>
        <w:t>objects</w:t>
      </w:r>
      <w:r w:rsidR="00D20663">
        <w:rPr>
          <w:rFonts w:ascii="Georgia" w:hAnsi="Georgia"/>
          <w:bCs/>
        </w:rPr>
        <w:t xml:space="preserve"> of </w:t>
      </w:r>
      <w:r w:rsidR="003207F8">
        <w:rPr>
          <w:rFonts w:ascii="Georgia" w:hAnsi="Georgia"/>
          <w:bCs/>
        </w:rPr>
        <w:t>people’s trust judgements in politics</w:t>
      </w:r>
      <w:r w:rsidR="00D20663">
        <w:rPr>
          <w:rFonts w:ascii="Georgia" w:hAnsi="Georgia"/>
          <w:bCs/>
        </w:rPr>
        <w:t xml:space="preserve">, primarily policy elites. </w:t>
      </w:r>
      <w:r w:rsidR="00971B8B">
        <w:rPr>
          <w:rFonts w:ascii="Georgia" w:hAnsi="Georgia"/>
          <w:bCs/>
        </w:rPr>
        <w:t xml:space="preserve">Where </w:t>
      </w:r>
      <w:r w:rsidR="00C0511C">
        <w:rPr>
          <w:rFonts w:ascii="Georgia" w:hAnsi="Georgia"/>
          <w:bCs/>
        </w:rPr>
        <w:t xml:space="preserve">research </w:t>
      </w:r>
      <w:r w:rsidR="00C0511C" w:rsidRPr="00C0511C">
        <w:rPr>
          <w:rFonts w:ascii="Georgia" w:hAnsi="Georgia"/>
          <w:bCs/>
          <w:i/>
          <w:iCs/>
        </w:rPr>
        <w:t xml:space="preserve">has </w:t>
      </w:r>
      <w:r w:rsidR="00C0511C">
        <w:rPr>
          <w:rFonts w:ascii="Georgia" w:hAnsi="Georgia"/>
          <w:bCs/>
        </w:rPr>
        <w:t>focused on policy elites</w:t>
      </w:r>
      <w:r w:rsidR="00971B8B">
        <w:rPr>
          <w:rFonts w:ascii="Georgia" w:hAnsi="Georgia"/>
          <w:bCs/>
        </w:rPr>
        <w:t xml:space="preserve">, </w:t>
      </w:r>
      <w:r w:rsidR="00C0511C">
        <w:rPr>
          <w:rFonts w:ascii="Georgia" w:hAnsi="Georgia"/>
          <w:bCs/>
        </w:rPr>
        <w:t>it has been concerned with understanding</w:t>
      </w:r>
      <w:r w:rsidR="00971B8B">
        <w:rPr>
          <w:rFonts w:ascii="Georgia" w:hAnsi="Georgia"/>
          <w:bCs/>
        </w:rPr>
        <w:t xml:space="preserve"> the signals of trustworthiness that senior officials or policy elites might project </w:t>
      </w:r>
      <w:r w:rsidR="00C0511C">
        <w:rPr>
          <w:rFonts w:ascii="Georgia" w:hAnsi="Georgia"/>
          <w:bCs/>
        </w:rPr>
        <w:t>to the public</w:t>
      </w:r>
      <w:r w:rsidR="00984B93">
        <w:rPr>
          <w:rFonts w:ascii="Georgia" w:hAnsi="Georgia"/>
          <w:bCs/>
        </w:rPr>
        <w:t xml:space="preserve"> – consciously or not –</w:t>
      </w:r>
      <w:r w:rsidR="00C0511C">
        <w:rPr>
          <w:rFonts w:ascii="Georgia" w:hAnsi="Georgia"/>
          <w:bCs/>
        </w:rPr>
        <w:t xml:space="preserve"> </w:t>
      </w:r>
      <w:r w:rsidR="00971B8B">
        <w:rPr>
          <w:rFonts w:ascii="Georgia" w:hAnsi="Georgia"/>
          <w:bCs/>
        </w:rPr>
        <w:t xml:space="preserve">through their actions, policy outputs or leadership styles (Green and Jennings, 2017; </w:t>
      </w:r>
      <w:r w:rsidR="00971B8B" w:rsidRPr="00971B8B">
        <w:rPr>
          <w:rFonts w:ascii="Georgia" w:hAnsi="Georgia"/>
          <w:bCs/>
        </w:rPr>
        <w:t>Haugsgjerd and Kumlin 2020</w:t>
      </w:r>
      <w:r w:rsidR="00971B8B">
        <w:rPr>
          <w:rFonts w:ascii="Georgia" w:hAnsi="Georgia"/>
          <w:bCs/>
        </w:rPr>
        <w:t xml:space="preserve">; Legood et al., 2020). </w:t>
      </w:r>
      <w:r w:rsidR="003207F8">
        <w:rPr>
          <w:rFonts w:ascii="Georgia" w:hAnsi="Georgia"/>
          <w:bCs/>
        </w:rPr>
        <w:t>However, t</w:t>
      </w:r>
      <w:r w:rsidR="00C0511C">
        <w:rPr>
          <w:rFonts w:ascii="Georgia" w:hAnsi="Georgia"/>
          <w:bCs/>
        </w:rPr>
        <w:t>aking one step back</w:t>
      </w:r>
      <w:r w:rsidR="00971B8B">
        <w:rPr>
          <w:rFonts w:ascii="Georgia" w:hAnsi="Georgia"/>
          <w:bCs/>
        </w:rPr>
        <w:t>, we know extremely little</w:t>
      </w:r>
      <w:r w:rsidR="00C0511C">
        <w:rPr>
          <w:rFonts w:ascii="Georgia" w:hAnsi="Georgia"/>
          <w:bCs/>
        </w:rPr>
        <w:t xml:space="preserve"> – if anything! –</w:t>
      </w:r>
      <w:r w:rsidR="00971B8B">
        <w:rPr>
          <w:rFonts w:ascii="Georgia" w:hAnsi="Georgia"/>
          <w:bCs/>
        </w:rPr>
        <w:t xml:space="preserve"> about how these ‘trustees’</w:t>
      </w:r>
      <w:r w:rsidR="00C0511C">
        <w:rPr>
          <w:rFonts w:ascii="Georgia" w:hAnsi="Georgia"/>
          <w:bCs/>
        </w:rPr>
        <w:t xml:space="preserve"> actually</w:t>
      </w:r>
      <w:r w:rsidR="00971B8B">
        <w:rPr>
          <w:rFonts w:ascii="Georgia" w:hAnsi="Georgia"/>
          <w:bCs/>
        </w:rPr>
        <w:t xml:space="preserve"> intuit trust or perceive the levels of trust and distrust placed in them</w:t>
      </w:r>
      <w:r w:rsidR="00345FF7">
        <w:rPr>
          <w:rFonts w:ascii="Georgia" w:hAnsi="Georgia"/>
          <w:bCs/>
        </w:rPr>
        <w:t xml:space="preserve"> (cf. Weinberg,</w:t>
      </w:r>
      <w:r>
        <w:rPr>
          <w:rFonts w:ascii="Georgia" w:hAnsi="Georgia"/>
          <w:bCs/>
        </w:rPr>
        <w:t xml:space="preserve"> 2022,</w:t>
      </w:r>
      <w:r w:rsidR="00345FF7">
        <w:rPr>
          <w:rFonts w:ascii="Georgia" w:hAnsi="Georgia"/>
          <w:bCs/>
        </w:rPr>
        <w:t xml:space="preserve"> 2023)</w:t>
      </w:r>
      <w:r w:rsidR="00971B8B">
        <w:rPr>
          <w:rFonts w:ascii="Georgia" w:hAnsi="Georgia"/>
          <w:bCs/>
        </w:rPr>
        <w:t>.</w:t>
      </w:r>
      <w:r w:rsidR="00C0511C">
        <w:rPr>
          <w:rFonts w:ascii="Georgia" w:hAnsi="Georgia"/>
          <w:bCs/>
        </w:rPr>
        <w:t xml:space="preserve"> </w:t>
      </w:r>
    </w:p>
    <w:p w14:paraId="2A47F697" w14:textId="77777777" w:rsidR="00971B8B" w:rsidRDefault="00971B8B" w:rsidP="005631BA">
      <w:pPr>
        <w:jc w:val="both"/>
        <w:rPr>
          <w:rFonts w:ascii="Georgia" w:hAnsi="Georgia"/>
          <w:bCs/>
        </w:rPr>
      </w:pPr>
    </w:p>
    <w:p w14:paraId="48C9221D" w14:textId="489D48D8" w:rsidR="004248D7" w:rsidRPr="004248D7" w:rsidRDefault="00971B8B" w:rsidP="00C0511C">
      <w:pPr>
        <w:jc w:val="both"/>
        <w:rPr>
          <w:rFonts w:ascii="Georgia" w:hAnsi="Georgia"/>
          <w:bCs/>
        </w:rPr>
      </w:pPr>
      <w:r>
        <w:rPr>
          <w:rFonts w:ascii="Georgia" w:hAnsi="Georgia"/>
          <w:bCs/>
        </w:rPr>
        <w:t xml:space="preserve">For the purpose of stimulating new discussions about trust </w:t>
      </w:r>
      <w:r w:rsidR="00C0511C">
        <w:rPr>
          <w:rFonts w:ascii="Georgia" w:hAnsi="Georgia"/>
          <w:bCs/>
        </w:rPr>
        <w:t>[</w:t>
      </w:r>
      <w:r>
        <w:rPr>
          <w:rFonts w:ascii="Georgia" w:hAnsi="Georgia"/>
          <w:bCs/>
        </w:rPr>
        <w:t>research</w:t>
      </w:r>
      <w:r w:rsidR="00C0511C">
        <w:rPr>
          <w:rFonts w:ascii="Georgia" w:hAnsi="Georgia"/>
          <w:bCs/>
        </w:rPr>
        <w:t>]</w:t>
      </w:r>
      <w:r>
        <w:rPr>
          <w:rFonts w:ascii="Georgia" w:hAnsi="Georgia"/>
          <w:bCs/>
        </w:rPr>
        <w:t xml:space="preserve"> in politics, I suggest that this black box demands more attention.</w:t>
      </w:r>
      <w:r w:rsidR="00C0511C">
        <w:rPr>
          <w:rFonts w:ascii="Georgia" w:hAnsi="Georgia"/>
          <w:bCs/>
        </w:rPr>
        <w:t xml:space="preserve"> Why?</w:t>
      </w:r>
      <w:r>
        <w:rPr>
          <w:rFonts w:ascii="Georgia" w:hAnsi="Georgia"/>
          <w:bCs/>
        </w:rPr>
        <w:t xml:space="preserve"> </w:t>
      </w:r>
      <w:r w:rsidR="003815C2">
        <w:rPr>
          <w:rFonts w:ascii="Georgia" w:hAnsi="Georgia"/>
          <w:bCs/>
        </w:rPr>
        <w:t>In essence, we</w:t>
      </w:r>
      <w:r w:rsidRPr="00971B8B">
        <w:rPr>
          <w:rFonts w:ascii="Georgia" w:hAnsi="Georgia"/>
          <w:bCs/>
        </w:rPr>
        <w:t xml:space="preserve"> might only rationally expect </w:t>
      </w:r>
      <w:r w:rsidR="003815C2">
        <w:rPr>
          <w:rFonts w:ascii="Georgia" w:hAnsi="Georgia"/>
          <w:bCs/>
        </w:rPr>
        <w:t xml:space="preserve">public </w:t>
      </w:r>
      <w:r w:rsidRPr="00971B8B">
        <w:rPr>
          <w:rFonts w:ascii="Georgia" w:hAnsi="Georgia"/>
          <w:bCs/>
        </w:rPr>
        <w:t xml:space="preserve">trust to facilitate sound and responsive governance, or distrust to stimulate change, where policy elites accurately perceive levels of each. Where this does not occur, we might expect elite behaviour to be </w:t>
      </w:r>
      <w:r w:rsidR="003207F8">
        <w:rPr>
          <w:rFonts w:ascii="Georgia" w:hAnsi="Georgia"/>
          <w:bCs/>
        </w:rPr>
        <w:t xml:space="preserve">or remain </w:t>
      </w:r>
      <w:r w:rsidRPr="00971B8B">
        <w:rPr>
          <w:rFonts w:ascii="Georgia" w:hAnsi="Georgia"/>
          <w:bCs/>
        </w:rPr>
        <w:t xml:space="preserve">out-of-step with </w:t>
      </w:r>
      <w:r>
        <w:rPr>
          <w:rFonts w:ascii="Georgia" w:hAnsi="Georgia"/>
          <w:bCs/>
        </w:rPr>
        <w:t xml:space="preserve">broader </w:t>
      </w:r>
      <w:r w:rsidRPr="00971B8B">
        <w:rPr>
          <w:rFonts w:ascii="Georgia" w:hAnsi="Georgia"/>
          <w:bCs/>
        </w:rPr>
        <w:t xml:space="preserve">public attitudes or </w:t>
      </w:r>
      <w:r>
        <w:rPr>
          <w:rFonts w:ascii="Georgia" w:hAnsi="Georgia"/>
          <w:bCs/>
        </w:rPr>
        <w:t xml:space="preserve">even </w:t>
      </w:r>
      <w:r w:rsidRPr="00971B8B">
        <w:rPr>
          <w:rFonts w:ascii="Georgia" w:hAnsi="Georgia"/>
          <w:bCs/>
        </w:rPr>
        <w:t>those of fellow policy actors, and thus fuel spirals of distrust or reinforce low-trust appraisals.</w:t>
      </w:r>
      <w:r>
        <w:rPr>
          <w:rFonts w:ascii="Georgia" w:hAnsi="Georgia"/>
          <w:bCs/>
        </w:rPr>
        <w:t xml:space="preserve"> </w:t>
      </w:r>
    </w:p>
    <w:p w14:paraId="0597FA2C" w14:textId="77777777" w:rsidR="0035287E" w:rsidRDefault="0035287E" w:rsidP="005631BA">
      <w:pPr>
        <w:jc w:val="both"/>
        <w:rPr>
          <w:rFonts w:ascii="Georgia" w:hAnsi="Georgia"/>
          <w:bCs/>
        </w:rPr>
      </w:pPr>
    </w:p>
    <w:p w14:paraId="274C4B98" w14:textId="1E9F35C0" w:rsidR="006F18D4" w:rsidRDefault="0035287E" w:rsidP="005631BA">
      <w:pPr>
        <w:jc w:val="both"/>
        <w:rPr>
          <w:rFonts w:ascii="Georgia" w:hAnsi="Georgia"/>
          <w:bCs/>
        </w:rPr>
      </w:pPr>
      <w:r>
        <w:rPr>
          <w:rFonts w:ascii="Georgia" w:hAnsi="Georgia"/>
          <w:bCs/>
        </w:rPr>
        <w:lastRenderedPageBreak/>
        <w:t>Th</w:t>
      </w:r>
      <w:r w:rsidR="003815C2">
        <w:rPr>
          <w:rFonts w:ascii="Georgia" w:hAnsi="Georgia"/>
          <w:bCs/>
        </w:rPr>
        <w:t>e fundamental premise of this</w:t>
      </w:r>
      <w:r>
        <w:rPr>
          <w:rFonts w:ascii="Georgia" w:hAnsi="Georgia"/>
          <w:bCs/>
        </w:rPr>
        <w:t xml:space="preserve"> logic has its parallels in studies of public opinion and policy responsiveness. Since Miller and Stokes’ seminal 1963 article on</w:t>
      </w:r>
      <w:r w:rsidRPr="0035287E">
        <w:rPr>
          <w:rFonts w:ascii="Georgia" w:hAnsi="Georgia"/>
          <w:bCs/>
        </w:rPr>
        <w:t xml:space="preserve"> the perceptual mechanism</w:t>
      </w:r>
      <w:r w:rsidR="00CA60F0">
        <w:rPr>
          <w:rFonts w:ascii="Georgia" w:hAnsi="Georgia"/>
          <w:bCs/>
        </w:rPr>
        <w:t xml:space="preserve"> (cited 1000+ times)</w:t>
      </w:r>
      <w:r w:rsidRPr="0035287E">
        <w:rPr>
          <w:rFonts w:ascii="Georgia" w:hAnsi="Georgia"/>
          <w:bCs/>
        </w:rPr>
        <w:t xml:space="preserve">, </w:t>
      </w:r>
      <w:r w:rsidR="003815C2">
        <w:rPr>
          <w:rFonts w:ascii="Georgia" w:hAnsi="Georgia"/>
          <w:bCs/>
        </w:rPr>
        <w:t>a small corpus of</w:t>
      </w:r>
      <w:r>
        <w:rPr>
          <w:rFonts w:ascii="Georgia" w:hAnsi="Georgia"/>
          <w:bCs/>
        </w:rPr>
        <w:t xml:space="preserve"> 15 studies (</w:t>
      </w:r>
      <w:r w:rsidR="00DB6C0A">
        <w:rPr>
          <w:rFonts w:ascii="Georgia" w:hAnsi="Georgia"/>
          <w:bCs/>
        </w:rPr>
        <w:t xml:space="preserve">to </w:t>
      </w:r>
      <w:r>
        <w:rPr>
          <w:rFonts w:ascii="Georgia" w:hAnsi="Georgia"/>
          <w:bCs/>
        </w:rPr>
        <w:t>my best count) ha</w:t>
      </w:r>
      <w:r w:rsidR="003207F8">
        <w:rPr>
          <w:rFonts w:ascii="Georgia" w:hAnsi="Georgia"/>
          <w:bCs/>
        </w:rPr>
        <w:t>s</w:t>
      </w:r>
      <w:r>
        <w:rPr>
          <w:rFonts w:ascii="Georgia" w:hAnsi="Georgia"/>
          <w:bCs/>
        </w:rPr>
        <w:t xml:space="preserve"> gathered self-report data from politicians showing their</w:t>
      </w:r>
      <w:r w:rsidRPr="0035287E">
        <w:rPr>
          <w:rFonts w:ascii="Georgia" w:hAnsi="Georgia"/>
          <w:bCs/>
        </w:rPr>
        <w:t xml:space="preserve"> perceptual</w:t>
      </w:r>
      <w:r w:rsidRPr="0035287E">
        <w:rPr>
          <w:rFonts w:ascii="Georgia" w:hAnsi="Georgia"/>
          <w:bCs/>
          <w:i/>
          <w:iCs/>
        </w:rPr>
        <w:t xml:space="preserve"> in</w:t>
      </w:r>
      <w:r w:rsidRPr="0035287E">
        <w:rPr>
          <w:rFonts w:ascii="Georgia" w:hAnsi="Georgia"/>
          <w:bCs/>
        </w:rPr>
        <w:t xml:space="preserve">accuracy </w:t>
      </w:r>
      <w:r w:rsidR="00CA60F0">
        <w:rPr>
          <w:rFonts w:ascii="Georgia" w:hAnsi="Georgia"/>
          <w:bCs/>
        </w:rPr>
        <w:t xml:space="preserve">about </w:t>
      </w:r>
      <w:r>
        <w:rPr>
          <w:rFonts w:ascii="Georgia" w:hAnsi="Georgia"/>
          <w:bCs/>
        </w:rPr>
        <w:t>public policy preferences</w:t>
      </w:r>
      <w:r w:rsidR="00CA60F0">
        <w:rPr>
          <w:rFonts w:ascii="Georgia" w:hAnsi="Georgia"/>
          <w:bCs/>
        </w:rPr>
        <w:t xml:space="preserve"> (a recent example being </w:t>
      </w:r>
      <w:r w:rsidR="00CA60F0" w:rsidRPr="00CA60F0">
        <w:rPr>
          <w:rFonts w:ascii="Georgia" w:hAnsi="Georgia"/>
          <w:bCs/>
        </w:rPr>
        <w:t>Walgrave et al., 2022</w:t>
      </w:r>
      <w:r w:rsidR="00CA60F0">
        <w:rPr>
          <w:rFonts w:ascii="Georgia" w:hAnsi="Georgia"/>
          <w:bCs/>
        </w:rPr>
        <w:t>)</w:t>
      </w:r>
      <w:r>
        <w:rPr>
          <w:rFonts w:ascii="Georgia" w:hAnsi="Georgia"/>
          <w:bCs/>
        </w:rPr>
        <w:t xml:space="preserve">. </w:t>
      </w:r>
      <w:r w:rsidR="00CA60F0">
        <w:rPr>
          <w:rFonts w:ascii="Georgia" w:hAnsi="Georgia"/>
          <w:bCs/>
        </w:rPr>
        <w:t>The general conclusion arising from this seam of research is, in essence, that the</w:t>
      </w:r>
      <w:r w:rsidR="00CA60F0" w:rsidRPr="00CA60F0">
        <w:rPr>
          <w:rFonts w:ascii="Georgia" w:hAnsi="Georgia"/>
          <w:bCs/>
        </w:rPr>
        <w:t xml:space="preserve"> perceptual mechanism, whereby politicians hold the ‘right’ perceptions of public opinion, underpins successful democratic representation</w:t>
      </w:r>
      <w:r w:rsidR="003815C2">
        <w:rPr>
          <w:rFonts w:ascii="Georgia" w:hAnsi="Georgia"/>
          <w:bCs/>
        </w:rPr>
        <w:t>,</w:t>
      </w:r>
      <w:r w:rsidR="004248D7">
        <w:rPr>
          <w:rFonts w:ascii="Georgia" w:hAnsi="Georgia"/>
          <w:bCs/>
        </w:rPr>
        <w:t xml:space="preserve"> and that such a condition is not presently being met. </w:t>
      </w:r>
    </w:p>
    <w:p w14:paraId="097C8295" w14:textId="77777777" w:rsidR="00C0511C" w:rsidRDefault="00C0511C" w:rsidP="005631BA">
      <w:pPr>
        <w:jc w:val="both"/>
        <w:rPr>
          <w:rFonts w:ascii="Georgia" w:hAnsi="Georgia"/>
          <w:bCs/>
        </w:rPr>
      </w:pPr>
    </w:p>
    <w:p w14:paraId="2C23525B" w14:textId="4FCEE5D7" w:rsidR="00C0511C" w:rsidRDefault="00C0511C" w:rsidP="00C0511C">
      <w:pPr>
        <w:jc w:val="both"/>
        <w:rPr>
          <w:rFonts w:ascii="Georgia" w:hAnsi="Georgia"/>
          <w:bCs/>
        </w:rPr>
      </w:pPr>
      <w:r>
        <w:rPr>
          <w:rFonts w:ascii="Georgia" w:hAnsi="Georgia"/>
          <w:bCs/>
        </w:rPr>
        <w:t xml:space="preserve">Discounting mistrust for the moment (as the least valenced of the trust concepts), we might distil four </w:t>
      </w:r>
      <w:r w:rsidR="0007064B">
        <w:rPr>
          <w:rFonts w:ascii="Georgia" w:hAnsi="Georgia"/>
          <w:bCs/>
        </w:rPr>
        <w:t>simple</w:t>
      </w:r>
      <w:r>
        <w:rPr>
          <w:rFonts w:ascii="Georgia" w:hAnsi="Georgia"/>
          <w:bCs/>
        </w:rPr>
        <w:t xml:space="preserve"> states of</w:t>
      </w:r>
      <w:r w:rsidR="003207F8">
        <w:rPr>
          <w:rFonts w:ascii="Georgia" w:hAnsi="Georgia"/>
          <w:bCs/>
        </w:rPr>
        <w:t xml:space="preserve"> perceptual</w:t>
      </w:r>
      <w:r>
        <w:rPr>
          <w:rFonts w:ascii="Georgia" w:hAnsi="Georgia"/>
          <w:bCs/>
        </w:rPr>
        <w:t xml:space="preserve"> alignment and divergence that </w:t>
      </w:r>
      <w:r w:rsidR="008C445A">
        <w:rPr>
          <w:rFonts w:ascii="Georgia" w:hAnsi="Georgia"/>
          <w:bCs/>
        </w:rPr>
        <w:t xml:space="preserve">are </w:t>
      </w:r>
      <w:r>
        <w:rPr>
          <w:rFonts w:ascii="Georgia" w:hAnsi="Georgia"/>
          <w:bCs/>
        </w:rPr>
        <w:t>worthy of consideration.</w:t>
      </w:r>
      <w:r>
        <w:rPr>
          <w:rStyle w:val="FootnoteReference"/>
          <w:rFonts w:ascii="Georgia" w:hAnsi="Georgia"/>
          <w:bCs/>
        </w:rPr>
        <w:footnoteReference w:id="1"/>
      </w:r>
    </w:p>
    <w:p w14:paraId="621B3C08" w14:textId="77777777" w:rsidR="00C0511C" w:rsidRDefault="00C0511C" w:rsidP="00C0511C">
      <w:pPr>
        <w:jc w:val="both"/>
        <w:rPr>
          <w:rFonts w:ascii="Georgia" w:hAnsi="Georgia"/>
          <w:bCs/>
        </w:rPr>
      </w:pPr>
    </w:p>
    <w:p w14:paraId="49DAE9FA" w14:textId="1E52C2A1" w:rsidR="00C0511C" w:rsidRDefault="00C0511C" w:rsidP="00C0511C">
      <w:pPr>
        <w:pStyle w:val="ListParagraph"/>
        <w:numPr>
          <w:ilvl w:val="0"/>
          <w:numId w:val="1"/>
        </w:numPr>
        <w:ind w:left="720"/>
        <w:rPr>
          <w:rFonts w:ascii="Georgia" w:hAnsi="Georgia"/>
          <w:bCs/>
        </w:rPr>
      </w:pPr>
      <w:r w:rsidRPr="004248D7">
        <w:rPr>
          <w:rFonts w:ascii="Georgia" w:hAnsi="Georgia"/>
          <w:bCs/>
        </w:rPr>
        <w:t xml:space="preserve">A trusts B, and B </w:t>
      </w:r>
      <w:r w:rsidR="0007064B">
        <w:rPr>
          <w:rFonts w:ascii="Georgia" w:hAnsi="Georgia"/>
          <w:bCs/>
        </w:rPr>
        <w:t>perceives</w:t>
      </w:r>
      <w:r w:rsidRPr="004248D7">
        <w:rPr>
          <w:rFonts w:ascii="Georgia" w:hAnsi="Georgia"/>
          <w:bCs/>
        </w:rPr>
        <w:t xml:space="preserve"> they are trusted.</w:t>
      </w:r>
      <w:r>
        <w:rPr>
          <w:rFonts w:ascii="Georgia" w:hAnsi="Georgia"/>
          <w:bCs/>
        </w:rPr>
        <w:t xml:space="preserve"> </w:t>
      </w:r>
      <w:r>
        <w:rPr>
          <w:rFonts w:ascii="Georgia" w:hAnsi="Georgia"/>
          <w:bCs/>
          <w:i/>
          <w:iCs/>
        </w:rPr>
        <w:t>ALIGNMENT</w:t>
      </w:r>
    </w:p>
    <w:p w14:paraId="6E4F0B50" w14:textId="6B1E283E" w:rsidR="00C0511C" w:rsidRDefault="00C0511C" w:rsidP="00C0511C">
      <w:pPr>
        <w:pStyle w:val="ListParagraph"/>
        <w:numPr>
          <w:ilvl w:val="0"/>
          <w:numId w:val="1"/>
        </w:numPr>
        <w:ind w:left="720"/>
        <w:rPr>
          <w:rFonts w:ascii="Georgia" w:hAnsi="Georgia"/>
          <w:bCs/>
        </w:rPr>
      </w:pPr>
      <w:r w:rsidRPr="004248D7">
        <w:rPr>
          <w:rFonts w:ascii="Georgia" w:hAnsi="Georgia"/>
          <w:bCs/>
        </w:rPr>
        <w:t xml:space="preserve">A trusts B, but B </w:t>
      </w:r>
      <w:r w:rsidR="0007064B">
        <w:rPr>
          <w:rFonts w:ascii="Georgia" w:hAnsi="Georgia"/>
          <w:bCs/>
        </w:rPr>
        <w:t>perceives</w:t>
      </w:r>
      <w:r w:rsidRPr="004248D7">
        <w:rPr>
          <w:rFonts w:ascii="Georgia" w:hAnsi="Georgia"/>
          <w:bCs/>
        </w:rPr>
        <w:t xml:space="preserve"> they are distrusted.</w:t>
      </w:r>
      <w:r>
        <w:rPr>
          <w:rFonts w:ascii="Georgia" w:hAnsi="Georgia"/>
          <w:bCs/>
        </w:rPr>
        <w:t xml:space="preserve"> </w:t>
      </w:r>
      <w:r w:rsidRPr="003815C2">
        <w:rPr>
          <w:rFonts w:ascii="Georgia" w:hAnsi="Georgia"/>
          <w:bCs/>
          <w:i/>
          <w:iCs/>
        </w:rPr>
        <w:t>DIVERGENCE</w:t>
      </w:r>
    </w:p>
    <w:p w14:paraId="6971E0B0" w14:textId="113396CA" w:rsidR="00C0511C" w:rsidRDefault="00C0511C" w:rsidP="00C0511C">
      <w:pPr>
        <w:pStyle w:val="ListParagraph"/>
        <w:numPr>
          <w:ilvl w:val="0"/>
          <w:numId w:val="1"/>
        </w:numPr>
        <w:ind w:left="720"/>
        <w:rPr>
          <w:rFonts w:ascii="Georgia" w:hAnsi="Georgia"/>
          <w:bCs/>
        </w:rPr>
      </w:pPr>
      <w:r w:rsidRPr="004248D7">
        <w:rPr>
          <w:rFonts w:ascii="Georgia" w:hAnsi="Georgia"/>
          <w:bCs/>
        </w:rPr>
        <w:t xml:space="preserve">A distrusts B, but B </w:t>
      </w:r>
      <w:r w:rsidR="0007064B">
        <w:rPr>
          <w:rFonts w:ascii="Georgia" w:hAnsi="Georgia"/>
          <w:bCs/>
        </w:rPr>
        <w:t>perceives</w:t>
      </w:r>
      <w:r w:rsidRPr="004248D7">
        <w:rPr>
          <w:rFonts w:ascii="Georgia" w:hAnsi="Georgia"/>
          <w:bCs/>
        </w:rPr>
        <w:t xml:space="preserve"> they are trusted.</w:t>
      </w:r>
      <w:r>
        <w:rPr>
          <w:rFonts w:ascii="Georgia" w:hAnsi="Georgia"/>
          <w:bCs/>
        </w:rPr>
        <w:t xml:space="preserve"> </w:t>
      </w:r>
      <w:r>
        <w:rPr>
          <w:rFonts w:ascii="Georgia" w:hAnsi="Georgia"/>
          <w:bCs/>
          <w:i/>
          <w:iCs/>
        </w:rPr>
        <w:t>DIVERGENCE</w:t>
      </w:r>
    </w:p>
    <w:p w14:paraId="50C5BE0B" w14:textId="2759A740" w:rsidR="00C0511C" w:rsidRPr="004248D7" w:rsidRDefault="00C0511C" w:rsidP="00C0511C">
      <w:pPr>
        <w:pStyle w:val="ListParagraph"/>
        <w:numPr>
          <w:ilvl w:val="0"/>
          <w:numId w:val="1"/>
        </w:numPr>
        <w:ind w:left="720"/>
        <w:rPr>
          <w:rFonts w:ascii="Georgia" w:hAnsi="Georgia"/>
          <w:bCs/>
        </w:rPr>
      </w:pPr>
      <w:r w:rsidRPr="004248D7">
        <w:rPr>
          <w:rFonts w:ascii="Georgia" w:hAnsi="Georgia"/>
          <w:bCs/>
        </w:rPr>
        <w:t xml:space="preserve">A distrusts B, and B </w:t>
      </w:r>
      <w:r w:rsidR="0007064B">
        <w:rPr>
          <w:rFonts w:ascii="Georgia" w:hAnsi="Georgia"/>
          <w:bCs/>
        </w:rPr>
        <w:t>perceives</w:t>
      </w:r>
      <w:r w:rsidRPr="004248D7">
        <w:rPr>
          <w:rFonts w:ascii="Georgia" w:hAnsi="Georgia"/>
          <w:bCs/>
        </w:rPr>
        <w:t xml:space="preserve"> they are distrusted.</w:t>
      </w:r>
      <w:r w:rsidRPr="003815C2">
        <w:rPr>
          <w:rFonts w:ascii="Georgia" w:hAnsi="Georgia"/>
          <w:bCs/>
          <w:i/>
          <w:iCs/>
        </w:rPr>
        <w:t xml:space="preserve"> ALIGNMENT</w:t>
      </w:r>
    </w:p>
    <w:p w14:paraId="06A968BA" w14:textId="77777777" w:rsidR="00C0511C" w:rsidRDefault="00C0511C" w:rsidP="005631BA">
      <w:pPr>
        <w:jc w:val="both"/>
        <w:rPr>
          <w:rFonts w:ascii="Georgia" w:hAnsi="Georgia"/>
          <w:bCs/>
        </w:rPr>
      </w:pPr>
    </w:p>
    <w:p w14:paraId="10AB6757" w14:textId="6ABC3E0B" w:rsidR="00CA60F0" w:rsidRDefault="008C445A" w:rsidP="005631BA">
      <w:pPr>
        <w:jc w:val="both"/>
        <w:rPr>
          <w:rFonts w:ascii="Georgia" w:hAnsi="Georgia"/>
          <w:bCs/>
        </w:rPr>
      </w:pPr>
      <w:r>
        <w:rPr>
          <w:rFonts w:ascii="Georgia" w:hAnsi="Georgia"/>
          <w:bCs/>
        </w:rPr>
        <w:t xml:space="preserve">Whether elite trust perceptions align or diverge </w:t>
      </w:r>
      <w:r w:rsidR="0007064B">
        <w:rPr>
          <w:rFonts w:ascii="Georgia" w:hAnsi="Georgia"/>
          <w:bCs/>
        </w:rPr>
        <w:t xml:space="preserve">with </w:t>
      </w:r>
      <w:r>
        <w:rPr>
          <w:rFonts w:ascii="Georgia" w:hAnsi="Georgia"/>
          <w:bCs/>
        </w:rPr>
        <w:t>public trust judgements could have particularly</w:t>
      </w:r>
      <w:r w:rsidR="004248D7">
        <w:rPr>
          <w:rFonts w:ascii="Georgia" w:hAnsi="Georgia"/>
          <w:bCs/>
        </w:rPr>
        <w:t xml:space="preserve"> important consequences</w:t>
      </w:r>
      <w:r w:rsidR="0007064B">
        <w:rPr>
          <w:rFonts w:ascii="Georgia" w:hAnsi="Georgia"/>
          <w:bCs/>
        </w:rPr>
        <w:t xml:space="preserve"> for political behaviour</w:t>
      </w:r>
      <w:r w:rsidR="0035287E">
        <w:rPr>
          <w:rFonts w:ascii="Georgia" w:hAnsi="Georgia"/>
          <w:bCs/>
        </w:rPr>
        <w:t>.</w:t>
      </w:r>
      <w:r w:rsidR="004248D7">
        <w:rPr>
          <w:rFonts w:ascii="Georgia" w:hAnsi="Georgia"/>
          <w:bCs/>
        </w:rPr>
        <w:t xml:space="preserve"> For example</w:t>
      </w:r>
      <w:r w:rsidR="00DB6C0A">
        <w:rPr>
          <w:rFonts w:ascii="Georgia" w:hAnsi="Georgia"/>
          <w:bCs/>
        </w:rPr>
        <w:t>,</w:t>
      </w:r>
      <w:r w:rsidR="004248D7" w:rsidRPr="004248D7">
        <w:rPr>
          <w:rFonts w:ascii="Georgia" w:hAnsi="Georgia"/>
          <w:bCs/>
        </w:rPr>
        <w:t xml:space="preserve"> </w:t>
      </w:r>
      <w:r w:rsidR="004248D7">
        <w:rPr>
          <w:rFonts w:ascii="Georgia" w:hAnsi="Georgia"/>
          <w:bCs/>
        </w:rPr>
        <w:t>policy elite</w:t>
      </w:r>
      <w:r w:rsidR="00DB6C0A">
        <w:rPr>
          <w:rFonts w:ascii="Georgia" w:hAnsi="Georgia"/>
          <w:bCs/>
        </w:rPr>
        <w:t>s</w:t>
      </w:r>
      <w:r w:rsidR="004248D7" w:rsidRPr="004248D7">
        <w:rPr>
          <w:rFonts w:ascii="Georgia" w:hAnsi="Georgia"/>
          <w:bCs/>
        </w:rPr>
        <w:t xml:space="preserve"> may well misperceive the </w:t>
      </w:r>
      <w:r w:rsidR="006F70E3">
        <w:rPr>
          <w:rFonts w:ascii="Georgia" w:hAnsi="Georgia"/>
          <w:bCs/>
        </w:rPr>
        <w:t xml:space="preserve">specific </w:t>
      </w:r>
      <w:r w:rsidR="0007064B">
        <w:rPr>
          <w:rFonts w:ascii="Georgia" w:hAnsi="Georgia"/>
          <w:bCs/>
        </w:rPr>
        <w:t xml:space="preserve">policy </w:t>
      </w:r>
      <w:r w:rsidR="004248D7" w:rsidRPr="004248D7">
        <w:rPr>
          <w:rFonts w:ascii="Georgia" w:hAnsi="Georgia"/>
          <w:bCs/>
        </w:rPr>
        <w:t xml:space="preserve">preferences of </w:t>
      </w:r>
      <w:r w:rsidR="004248D7">
        <w:rPr>
          <w:rFonts w:ascii="Georgia" w:hAnsi="Georgia"/>
          <w:bCs/>
        </w:rPr>
        <w:t>a</w:t>
      </w:r>
      <w:r w:rsidR="004248D7" w:rsidRPr="004248D7">
        <w:rPr>
          <w:rFonts w:ascii="Georgia" w:hAnsi="Georgia"/>
          <w:bCs/>
        </w:rPr>
        <w:t xml:space="preserve"> nation or a specific subset of voters</w:t>
      </w:r>
      <w:r>
        <w:rPr>
          <w:rFonts w:ascii="Georgia" w:hAnsi="Georgia"/>
          <w:bCs/>
        </w:rPr>
        <w:t xml:space="preserve"> (as documented elsewhere)</w:t>
      </w:r>
      <w:r w:rsidR="004248D7" w:rsidRPr="004248D7">
        <w:rPr>
          <w:rFonts w:ascii="Georgia" w:hAnsi="Georgia"/>
          <w:bCs/>
        </w:rPr>
        <w:t xml:space="preserve">, but they will rarely advance a policy unless they also feel in command of enough personal cachet to act. </w:t>
      </w:r>
      <w:r w:rsidR="00DB6C0A">
        <w:rPr>
          <w:rFonts w:ascii="Georgia" w:hAnsi="Georgia"/>
          <w:bCs/>
        </w:rPr>
        <w:t>Therefore, in</w:t>
      </w:r>
      <w:r w:rsidR="004248D7" w:rsidRPr="004248D7">
        <w:rPr>
          <w:rFonts w:ascii="Georgia" w:hAnsi="Georgia"/>
          <w:bCs/>
        </w:rPr>
        <w:t xml:space="preserve"> a </w:t>
      </w:r>
      <w:r w:rsidR="00DB6C0A">
        <w:rPr>
          <w:rFonts w:ascii="Georgia" w:hAnsi="Georgia"/>
          <w:bCs/>
        </w:rPr>
        <w:t>theoretical</w:t>
      </w:r>
      <w:r w:rsidR="004248D7">
        <w:rPr>
          <w:rFonts w:ascii="Georgia" w:hAnsi="Georgia"/>
          <w:bCs/>
        </w:rPr>
        <w:t xml:space="preserve"> </w:t>
      </w:r>
      <w:r w:rsidR="004248D7" w:rsidRPr="004248D7">
        <w:rPr>
          <w:rFonts w:ascii="Georgia" w:hAnsi="Georgia"/>
          <w:bCs/>
        </w:rPr>
        <w:t xml:space="preserve">claim-and-response model of governor-governed relations, </w:t>
      </w:r>
      <w:r w:rsidR="00DB6C0A">
        <w:rPr>
          <w:rFonts w:ascii="Georgia" w:hAnsi="Georgia"/>
          <w:bCs/>
        </w:rPr>
        <w:t xml:space="preserve">whereby the </w:t>
      </w:r>
      <w:r w:rsidR="00DB6C0A" w:rsidRPr="00DB6C0A">
        <w:rPr>
          <w:rFonts w:ascii="Georgia" w:hAnsi="Georgia"/>
          <w:bCs/>
          <w:lang w:val="en-US"/>
        </w:rPr>
        <w:t>former’s actions affect the latter’s responses and vice versa</w:t>
      </w:r>
      <w:r w:rsidR="00DB6C0A">
        <w:rPr>
          <w:rFonts w:ascii="Georgia" w:hAnsi="Georgia"/>
          <w:bCs/>
          <w:lang w:val="en-US"/>
        </w:rPr>
        <w:t>,</w:t>
      </w:r>
      <w:r w:rsidR="00DB6C0A" w:rsidRPr="00DB6C0A">
        <w:rPr>
          <w:rFonts w:ascii="Georgia" w:hAnsi="Georgia"/>
          <w:bCs/>
          <w:lang w:val="en-US"/>
        </w:rPr>
        <w:t xml:space="preserve"> </w:t>
      </w:r>
      <w:r w:rsidR="004248D7" w:rsidRPr="008C445A">
        <w:rPr>
          <w:rFonts w:ascii="Georgia" w:hAnsi="Georgia"/>
          <w:bCs/>
          <w:i/>
          <w:iCs/>
        </w:rPr>
        <w:t>accurate perceptions of trust and distrust</w:t>
      </w:r>
      <w:r w:rsidR="004248D7" w:rsidRPr="004248D7">
        <w:rPr>
          <w:rFonts w:ascii="Georgia" w:hAnsi="Georgia"/>
          <w:bCs/>
        </w:rPr>
        <w:t xml:space="preserve"> should facilitate or stimulate appropriate and proportionate governing actions. </w:t>
      </w:r>
      <w:r>
        <w:rPr>
          <w:rFonts w:ascii="Georgia" w:hAnsi="Georgia"/>
          <w:bCs/>
        </w:rPr>
        <w:t xml:space="preserve">Where trust perceptions diverge, then spirals of distrust may occur as elites make decisions that are neither </w:t>
      </w:r>
      <w:r w:rsidRPr="004248D7">
        <w:rPr>
          <w:rFonts w:ascii="Georgia" w:hAnsi="Georgia"/>
          <w:bCs/>
        </w:rPr>
        <w:t xml:space="preserve">appropriate </w:t>
      </w:r>
      <w:r>
        <w:rPr>
          <w:rFonts w:ascii="Georgia" w:hAnsi="Georgia"/>
          <w:bCs/>
        </w:rPr>
        <w:t>or</w:t>
      </w:r>
      <w:r w:rsidRPr="004248D7">
        <w:rPr>
          <w:rFonts w:ascii="Georgia" w:hAnsi="Georgia"/>
          <w:bCs/>
        </w:rPr>
        <w:t xml:space="preserve"> proportionate</w:t>
      </w:r>
      <w:r>
        <w:rPr>
          <w:rFonts w:ascii="Georgia" w:hAnsi="Georgia"/>
          <w:bCs/>
        </w:rPr>
        <w:t xml:space="preserve"> to levels of trust and distrust among the public they serve. Figure 1 attempts to summarise th</w:t>
      </w:r>
      <w:r w:rsidR="000E568A">
        <w:rPr>
          <w:rFonts w:ascii="Georgia" w:hAnsi="Georgia"/>
          <w:bCs/>
        </w:rPr>
        <w:t>e ‘spiral’ inherent in this thesis</w:t>
      </w:r>
      <w:r>
        <w:rPr>
          <w:rFonts w:ascii="Georgia" w:hAnsi="Georgia"/>
          <w:bCs/>
        </w:rPr>
        <w:t xml:space="preserve">. </w:t>
      </w:r>
    </w:p>
    <w:p w14:paraId="1AF244AB" w14:textId="77777777" w:rsidR="0007064B" w:rsidRDefault="0007064B" w:rsidP="005631BA">
      <w:pPr>
        <w:jc w:val="both"/>
        <w:rPr>
          <w:rFonts w:ascii="Georgia" w:hAnsi="Georgia"/>
          <w:bCs/>
        </w:rPr>
      </w:pPr>
    </w:p>
    <w:p w14:paraId="6BAA4946" w14:textId="67D8ECD9" w:rsidR="0007064B" w:rsidRDefault="0007064B" w:rsidP="005631BA">
      <w:pPr>
        <w:jc w:val="both"/>
        <w:rPr>
          <w:rFonts w:ascii="Georgia" w:hAnsi="Georgia"/>
          <w:bCs/>
        </w:rPr>
      </w:pPr>
      <w:r w:rsidRPr="0007064B">
        <w:rPr>
          <w:rFonts w:ascii="Georgia" w:hAnsi="Georgia"/>
          <w:b/>
        </w:rPr>
        <w:t>Figure 1.</w:t>
      </w:r>
      <w:r>
        <w:rPr>
          <w:rFonts w:ascii="Georgia" w:hAnsi="Georgia"/>
          <w:bCs/>
        </w:rPr>
        <w:t xml:space="preserve"> The perceptual mechanism in political trust relationships. </w:t>
      </w:r>
    </w:p>
    <w:p w14:paraId="436F2552" w14:textId="77777777" w:rsidR="0007064B" w:rsidRDefault="0007064B" w:rsidP="005631BA">
      <w:pPr>
        <w:jc w:val="both"/>
        <w:rPr>
          <w:rFonts w:ascii="Georgia" w:hAnsi="Georgia"/>
          <w:bCs/>
        </w:rPr>
      </w:pPr>
    </w:p>
    <w:p w14:paraId="49196127" w14:textId="75653CCB" w:rsidR="0007064B" w:rsidRDefault="000A6A1A" w:rsidP="005631BA">
      <w:pPr>
        <w:jc w:val="both"/>
        <w:rPr>
          <w:rFonts w:ascii="Georgia" w:hAnsi="Georgia"/>
          <w:bCs/>
        </w:rPr>
      </w:pPr>
      <w:r>
        <w:rPr>
          <w:rFonts w:ascii="Georgia" w:hAnsi="Georgia"/>
          <w:bCs/>
          <w:noProof/>
        </w:rPr>
        <w:drawing>
          <wp:inline distT="0" distB="0" distL="0" distR="0" wp14:anchorId="47DA30AE" wp14:editId="20C6A5CF">
            <wp:extent cx="5727700" cy="1579245"/>
            <wp:effectExtent l="0" t="0" r="6350" b="1905"/>
            <wp:docPr id="1" name="Picture 1" descr="A picture containing diagram, line, circle,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 line, circle, sket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579245"/>
                    </a:xfrm>
                    <a:prstGeom prst="rect">
                      <a:avLst/>
                    </a:prstGeom>
                  </pic:spPr>
                </pic:pic>
              </a:graphicData>
            </a:graphic>
          </wp:inline>
        </w:drawing>
      </w:r>
    </w:p>
    <w:p w14:paraId="7AE95AB5" w14:textId="77777777" w:rsidR="004248D7" w:rsidRDefault="004248D7" w:rsidP="005631BA">
      <w:pPr>
        <w:jc w:val="both"/>
        <w:rPr>
          <w:rFonts w:ascii="Georgia" w:hAnsi="Georgia"/>
          <w:bCs/>
        </w:rPr>
      </w:pPr>
    </w:p>
    <w:p w14:paraId="0E4CD3AE" w14:textId="0BDC493D" w:rsidR="006F18D4" w:rsidRPr="00951729" w:rsidRDefault="003815C2" w:rsidP="005631BA">
      <w:pPr>
        <w:jc w:val="both"/>
        <w:rPr>
          <w:rFonts w:ascii="Georgia" w:hAnsi="Georgia"/>
          <w:b/>
        </w:rPr>
      </w:pPr>
      <w:r w:rsidRPr="00951729">
        <w:rPr>
          <w:rFonts w:ascii="Georgia" w:hAnsi="Georgia"/>
          <w:b/>
        </w:rPr>
        <w:t>Moving forward:</w:t>
      </w:r>
      <w:r w:rsidR="00951729" w:rsidRPr="00951729">
        <w:rPr>
          <w:rFonts w:ascii="Georgia" w:hAnsi="Georgia"/>
          <w:b/>
        </w:rPr>
        <w:t xml:space="preserve"> A research agenda</w:t>
      </w:r>
    </w:p>
    <w:p w14:paraId="6B076E17" w14:textId="77777777" w:rsidR="003815C2" w:rsidRDefault="003815C2" w:rsidP="005631BA">
      <w:pPr>
        <w:jc w:val="both"/>
        <w:rPr>
          <w:rFonts w:ascii="Georgia" w:hAnsi="Georgia"/>
          <w:bCs/>
        </w:rPr>
      </w:pPr>
    </w:p>
    <w:p w14:paraId="18257C15" w14:textId="449313BD" w:rsidR="00951729" w:rsidRDefault="003815C2" w:rsidP="005631BA">
      <w:pPr>
        <w:jc w:val="both"/>
        <w:rPr>
          <w:rFonts w:ascii="Georgia" w:hAnsi="Georgia"/>
          <w:bCs/>
        </w:rPr>
      </w:pPr>
      <w:r>
        <w:rPr>
          <w:rFonts w:ascii="Georgia" w:hAnsi="Georgia"/>
          <w:bCs/>
        </w:rPr>
        <w:t xml:space="preserve">The following five questions provide a starting point for a research agenda into </w:t>
      </w:r>
      <w:r w:rsidR="0007064B">
        <w:rPr>
          <w:rFonts w:ascii="Georgia" w:hAnsi="Georgia"/>
          <w:bCs/>
        </w:rPr>
        <w:t xml:space="preserve">political </w:t>
      </w:r>
      <w:r>
        <w:rPr>
          <w:rFonts w:ascii="Georgia" w:hAnsi="Georgia"/>
          <w:bCs/>
        </w:rPr>
        <w:t>trust perceptions.</w:t>
      </w:r>
    </w:p>
    <w:p w14:paraId="778ECDA4" w14:textId="4E51187E" w:rsidR="003815C2" w:rsidRDefault="00951729" w:rsidP="005631BA">
      <w:pPr>
        <w:jc w:val="both"/>
        <w:rPr>
          <w:rFonts w:ascii="Georgia" w:hAnsi="Georgia"/>
          <w:bCs/>
        </w:rPr>
      </w:pPr>
      <w:r>
        <w:rPr>
          <w:rFonts w:ascii="Georgia" w:hAnsi="Georgia"/>
          <w:bCs/>
        </w:rPr>
        <w:t xml:space="preserve"> </w:t>
      </w:r>
    </w:p>
    <w:p w14:paraId="180A7280" w14:textId="586A4F08" w:rsidR="006F18D4" w:rsidRPr="0007064B" w:rsidRDefault="006F18D4" w:rsidP="00951729">
      <w:pPr>
        <w:pStyle w:val="ListParagraph"/>
        <w:numPr>
          <w:ilvl w:val="0"/>
          <w:numId w:val="5"/>
        </w:numPr>
        <w:jc w:val="both"/>
        <w:rPr>
          <w:rFonts w:ascii="Georgia" w:hAnsi="Georgia"/>
          <w:bCs/>
          <w:i/>
          <w:iCs/>
        </w:rPr>
      </w:pPr>
      <w:r w:rsidRPr="0007064B">
        <w:rPr>
          <w:rFonts w:ascii="Georgia" w:hAnsi="Georgia"/>
          <w:bCs/>
          <w:i/>
          <w:iCs/>
        </w:rPr>
        <w:t>How does the importance of the perceptual mechanism, and the outcomes it informs, vary across different political relationships?</w:t>
      </w:r>
    </w:p>
    <w:p w14:paraId="043A9D2A" w14:textId="77777777" w:rsidR="006F18D4" w:rsidRDefault="006F18D4" w:rsidP="006F18D4">
      <w:pPr>
        <w:pStyle w:val="ListParagraph"/>
        <w:ind w:left="1080"/>
        <w:jc w:val="both"/>
        <w:rPr>
          <w:rFonts w:ascii="Georgia" w:hAnsi="Georgia"/>
          <w:bCs/>
        </w:rPr>
      </w:pPr>
    </w:p>
    <w:p w14:paraId="0E42D75D" w14:textId="08449639" w:rsidR="006F18D4" w:rsidRDefault="00951729" w:rsidP="00951729">
      <w:pPr>
        <w:pStyle w:val="ListParagraph"/>
        <w:numPr>
          <w:ilvl w:val="0"/>
          <w:numId w:val="6"/>
        </w:numPr>
        <w:jc w:val="both"/>
        <w:rPr>
          <w:rFonts w:ascii="Georgia" w:hAnsi="Georgia"/>
          <w:bCs/>
        </w:rPr>
      </w:pPr>
      <w:r>
        <w:rPr>
          <w:rFonts w:ascii="Georgia" w:hAnsi="Georgia"/>
          <w:bCs/>
        </w:rPr>
        <w:t xml:space="preserve">Whilst the vast majority of </w:t>
      </w:r>
      <w:r w:rsidR="00915D40">
        <w:rPr>
          <w:rFonts w:ascii="Georgia" w:hAnsi="Georgia"/>
          <w:bCs/>
        </w:rPr>
        <w:t xml:space="preserve">existing </w:t>
      </w:r>
      <w:r>
        <w:rPr>
          <w:rFonts w:ascii="Georgia" w:hAnsi="Georgia"/>
          <w:bCs/>
        </w:rPr>
        <w:t xml:space="preserve">studies into political trust focus on </w:t>
      </w:r>
      <w:r w:rsidR="006F18D4">
        <w:rPr>
          <w:rFonts w:ascii="Georgia" w:hAnsi="Georgia"/>
          <w:bCs/>
        </w:rPr>
        <w:t xml:space="preserve">vertical trust relationships between politicians and voters, trust perceptions might hold as much </w:t>
      </w:r>
      <w:r w:rsidR="006F18D4">
        <w:rPr>
          <w:rFonts w:ascii="Georgia" w:hAnsi="Georgia"/>
          <w:bCs/>
        </w:rPr>
        <w:lastRenderedPageBreak/>
        <w:t xml:space="preserve">or more importance for the outcomes of relationships </w:t>
      </w:r>
      <w:r w:rsidR="006F18D4" w:rsidRPr="00951729">
        <w:rPr>
          <w:rFonts w:ascii="Georgia" w:hAnsi="Georgia"/>
          <w:bCs/>
          <w:i/>
          <w:iCs/>
        </w:rPr>
        <w:t>between politicians</w:t>
      </w:r>
      <w:r w:rsidR="006F18D4">
        <w:rPr>
          <w:rFonts w:ascii="Georgia" w:hAnsi="Georgia"/>
          <w:bCs/>
        </w:rPr>
        <w:t xml:space="preserve"> (e.g. in parliamentary committees), </w:t>
      </w:r>
      <w:r w:rsidR="006F18D4" w:rsidRPr="00951729">
        <w:rPr>
          <w:rFonts w:ascii="Georgia" w:hAnsi="Georgia"/>
          <w:bCs/>
          <w:i/>
          <w:iCs/>
        </w:rPr>
        <w:t>between politicians and civil servants</w:t>
      </w:r>
      <w:r w:rsidR="0007064B">
        <w:rPr>
          <w:rFonts w:ascii="Georgia" w:hAnsi="Georgia"/>
          <w:bCs/>
          <w:i/>
          <w:iCs/>
        </w:rPr>
        <w:t xml:space="preserve"> </w:t>
      </w:r>
      <w:r w:rsidR="0007064B">
        <w:rPr>
          <w:rFonts w:ascii="Georgia" w:hAnsi="Georgia"/>
          <w:bCs/>
        </w:rPr>
        <w:t>(e.g. in local, regional or national departments)</w:t>
      </w:r>
      <w:r w:rsidR="006F18D4">
        <w:rPr>
          <w:rFonts w:ascii="Georgia" w:hAnsi="Georgia"/>
          <w:bCs/>
        </w:rPr>
        <w:t xml:space="preserve">, or even </w:t>
      </w:r>
      <w:r w:rsidR="006F18D4" w:rsidRPr="00951729">
        <w:rPr>
          <w:rFonts w:ascii="Georgia" w:hAnsi="Georgia"/>
          <w:bCs/>
          <w:i/>
          <w:iCs/>
        </w:rPr>
        <w:t>between politicians and bureaucrats in multinational settings</w:t>
      </w:r>
      <w:r w:rsidR="006F18D4">
        <w:rPr>
          <w:rFonts w:ascii="Georgia" w:hAnsi="Georgia"/>
          <w:bCs/>
        </w:rPr>
        <w:t xml:space="preserve"> (e.g. the EU, NATO, UN).</w:t>
      </w:r>
      <w:r w:rsidR="00915D40">
        <w:rPr>
          <w:rFonts w:ascii="Georgia" w:hAnsi="Georgia"/>
          <w:bCs/>
        </w:rPr>
        <w:t xml:space="preserve"> Which of these relationships is most interesting/important? What would core research questions look like for studies of each?</w:t>
      </w:r>
    </w:p>
    <w:p w14:paraId="056CC962" w14:textId="77777777" w:rsidR="006F18D4" w:rsidRDefault="006F18D4" w:rsidP="006F18D4">
      <w:pPr>
        <w:jc w:val="both"/>
        <w:rPr>
          <w:rFonts w:ascii="Georgia" w:hAnsi="Georgia"/>
          <w:bCs/>
        </w:rPr>
      </w:pPr>
    </w:p>
    <w:p w14:paraId="0FB70230" w14:textId="05DD5C03" w:rsidR="00951729" w:rsidRPr="0007064B" w:rsidRDefault="00951729" w:rsidP="00951729">
      <w:pPr>
        <w:pStyle w:val="ListParagraph"/>
        <w:numPr>
          <w:ilvl w:val="0"/>
          <w:numId w:val="5"/>
        </w:numPr>
        <w:jc w:val="both"/>
        <w:rPr>
          <w:rFonts w:ascii="Georgia" w:hAnsi="Georgia"/>
          <w:bCs/>
          <w:i/>
          <w:iCs/>
        </w:rPr>
      </w:pPr>
      <w:r w:rsidRPr="0007064B">
        <w:rPr>
          <w:rFonts w:ascii="Georgia" w:hAnsi="Georgia"/>
          <w:bCs/>
          <w:i/>
          <w:iCs/>
        </w:rPr>
        <w:t>What are the processes that inform trust perceptions?</w:t>
      </w:r>
    </w:p>
    <w:p w14:paraId="7ADBA2BC" w14:textId="77777777" w:rsidR="00951729" w:rsidRPr="006F18D4" w:rsidRDefault="00951729" w:rsidP="00951729">
      <w:pPr>
        <w:pStyle w:val="ListParagraph"/>
        <w:rPr>
          <w:rFonts w:ascii="Georgia" w:hAnsi="Georgia"/>
          <w:bCs/>
        </w:rPr>
      </w:pPr>
    </w:p>
    <w:p w14:paraId="56FEF916" w14:textId="36B1EA81" w:rsidR="00951729" w:rsidRPr="006F18D4" w:rsidRDefault="00951729" w:rsidP="00951729">
      <w:pPr>
        <w:pStyle w:val="ListParagraph"/>
        <w:numPr>
          <w:ilvl w:val="0"/>
          <w:numId w:val="7"/>
        </w:numPr>
        <w:jc w:val="both"/>
        <w:rPr>
          <w:rFonts w:ascii="Georgia" w:hAnsi="Georgia"/>
          <w:bCs/>
        </w:rPr>
      </w:pPr>
      <w:r w:rsidRPr="006F18D4">
        <w:rPr>
          <w:rFonts w:ascii="Georgia" w:hAnsi="Georgia"/>
          <w:bCs/>
        </w:rPr>
        <w:t xml:space="preserve">Just as public trust judgements are often grounded in heuristics and biases, we might expect politicians to make automatic appraisals of how much they are trusted or distrusted based on selective encounters with particular </w:t>
      </w:r>
      <w:r>
        <w:rPr>
          <w:rFonts w:ascii="Georgia" w:hAnsi="Georgia"/>
          <w:bCs/>
        </w:rPr>
        <w:t xml:space="preserve">groups of </w:t>
      </w:r>
      <w:r w:rsidRPr="006F18D4">
        <w:rPr>
          <w:rFonts w:ascii="Georgia" w:hAnsi="Georgia"/>
          <w:bCs/>
        </w:rPr>
        <w:t>citizens in certain contexts or</w:t>
      </w:r>
      <w:r>
        <w:rPr>
          <w:rFonts w:ascii="Georgia" w:hAnsi="Georgia"/>
          <w:bCs/>
        </w:rPr>
        <w:t xml:space="preserve"> atypical</w:t>
      </w:r>
      <w:r w:rsidRPr="006F18D4">
        <w:rPr>
          <w:rFonts w:ascii="Georgia" w:hAnsi="Georgia"/>
          <w:bCs/>
        </w:rPr>
        <w:t xml:space="preserve"> interactive situations. </w:t>
      </w:r>
      <w:r w:rsidR="00915D40">
        <w:rPr>
          <w:rFonts w:ascii="Georgia" w:hAnsi="Georgia"/>
          <w:bCs/>
        </w:rPr>
        <w:t>It is possible that the trustee’s individual characteristics also matter for how they interpret public trust or distrust (e.g. personality traits). Which variables should be prioritised and how would we study them? Do any working hypotheses raise</w:t>
      </w:r>
      <w:r w:rsidR="00915D40" w:rsidRPr="006F18D4">
        <w:rPr>
          <w:rFonts w:ascii="Georgia" w:hAnsi="Georgia"/>
          <w:bCs/>
        </w:rPr>
        <w:t xml:space="preserve"> additional questions </w:t>
      </w:r>
      <w:r w:rsidR="00915D40">
        <w:rPr>
          <w:rFonts w:ascii="Georgia" w:hAnsi="Georgia"/>
          <w:bCs/>
        </w:rPr>
        <w:t xml:space="preserve">that need to be considered (e.g. </w:t>
      </w:r>
      <w:r w:rsidR="00915D40" w:rsidRPr="006F18D4">
        <w:rPr>
          <w:rFonts w:ascii="Georgia" w:hAnsi="Georgia"/>
          <w:bCs/>
        </w:rPr>
        <w:t xml:space="preserve">about the importance </w:t>
      </w:r>
      <w:r w:rsidR="0007064B">
        <w:rPr>
          <w:rFonts w:ascii="Georgia" w:hAnsi="Georgia"/>
          <w:bCs/>
        </w:rPr>
        <w:t xml:space="preserve">of </w:t>
      </w:r>
      <w:r w:rsidR="00915D40" w:rsidRPr="006F18D4">
        <w:rPr>
          <w:rFonts w:ascii="Georgia" w:hAnsi="Georgia"/>
          <w:bCs/>
        </w:rPr>
        <w:t>elite perceptions for equal representation</w:t>
      </w:r>
      <w:r w:rsidR="00915D40">
        <w:rPr>
          <w:rFonts w:ascii="Georgia" w:hAnsi="Georgia"/>
          <w:bCs/>
        </w:rPr>
        <w:t>)?</w:t>
      </w:r>
    </w:p>
    <w:p w14:paraId="1883CCAF" w14:textId="77777777" w:rsidR="00951729" w:rsidRDefault="00951729" w:rsidP="00951729">
      <w:pPr>
        <w:jc w:val="both"/>
        <w:rPr>
          <w:rFonts w:ascii="Georgia" w:hAnsi="Georgia"/>
          <w:bCs/>
        </w:rPr>
      </w:pPr>
    </w:p>
    <w:p w14:paraId="0794E3ED" w14:textId="14A4C6A6" w:rsidR="00951729" w:rsidRPr="0007064B" w:rsidRDefault="00951729" w:rsidP="00951729">
      <w:pPr>
        <w:pStyle w:val="ListParagraph"/>
        <w:numPr>
          <w:ilvl w:val="0"/>
          <w:numId w:val="5"/>
        </w:numPr>
        <w:jc w:val="both"/>
        <w:rPr>
          <w:rFonts w:ascii="Georgia" w:hAnsi="Georgia"/>
          <w:bCs/>
          <w:i/>
          <w:iCs/>
        </w:rPr>
      </w:pPr>
      <w:r w:rsidRPr="0007064B">
        <w:rPr>
          <w:rFonts w:ascii="Georgia" w:hAnsi="Georgia"/>
          <w:bCs/>
          <w:i/>
          <w:iCs/>
        </w:rPr>
        <w:t>How should we measure trust perceptions?</w:t>
      </w:r>
    </w:p>
    <w:p w14:paraId="213946F1" w14:textId="77777777" w:rsidR="00951729" w:rsidRDefault="00951729" w:rsidP="00951729">
      <w:pPr>
        <w:jc w:val="both"/>
        <w:rPr>
          <w:rFonts w:ascii="Georgia" w:hAnsi="Georgia"/>
          <w:bCs/>
        </w:rPr>
      </w:pPr>
    </w:p>
    <w:p w14:paraId="0300D4AE" w14:textId="7AA80F03" w:rsidR="00951729" w:rsidRPr="00951729" w:rsidRDefault="00951729" w:rsidP="00951729">
      <w:pPr>
        <w:pStyle w:val="ListParagraph"/>
        <w:numPr>
          <w:ilvl w:val="0"/>
          <w:numId w:val="7"/>
        </w:numPr>
        <w:jc w:val="both"/>
        <w:rPr>
          <w:rFonts w:ascii="Georgia" w:hAnsi="Georgia"/>
          <w:bCs/>
        </w:rPr>
      </w:pPr>
      <w:r>
        <w:rPr>
          <w:rFonts w:ascii="Georgia" w:hAnsi="Georgia"/>
          <w:bCs/>
        </w:rPr>
        <w:t>In pilot research with politicians, I trialled self-report survey items that invert common trust judgement questions found in big survey studies (</w:t>
      </w:r>
      <w:r w:rsidR="00915D40">
        <w:rPr>
          <w:rFonts w:ascii="Georgia" w:hAnsi="Georgia"/>
          <w:bCs/>
        </w:rPr>
        <w:t xml:space="preserve">e.g. </w:t>
      </w:r>
      <w:r>
        <w:rPr>
          <w:rFonts w:ascii="Georgia" w:hAnsi="Georgia"/>
          <w:bCs/>
        </w:rPr>
        <w:t xml:space="preserve">WVS etc.). However, there may be more innovative ways to measure trust perceptions using game- or situation-based experiments, or even physiological markers (see work by the Hot Politics Lab). There are, of course, </w:t>
      </w:r>
      <w:r w:rsidR="00915D40">
        <w:rPr>
          <w:rFonts w:ascii="Georgia" w:hAnsi="Georgia"/>
          <w:bCs/>
        </w:rPr>
        <w:t>trade-offs</w:t>
      </w:r>
      <w:r>
        <w:rPr>
          <w:rFonts w:ascii="Georgia" w:hAnsi="Georgia"/>
          <w:bCs/>
        </w:rPr>
        <w:t xml:space="preserve"> to be considered between validity and pragmatism when it comes to working with hard-to-access groups like politicians or civil servants.</w:t>
      </w:r>
      <w:r w:rsidR="00915D40">
        <w:rPr>
          <w:rFonts w:ascii="Georgia" w:hAnsi="Georgia"/>
          <w:bCs/>
        </w:rPr>
        <w:t xml:space="preserve"> What are the options for measuring</w:t>
      </w:r>
      <w:r w:rsidR="0007064B">
        <w:rPr>
          <w:rFonts w:ascii="Georgia" w:hAnsi="Georgia"/>
          <w:bCs/>
        </w:rPr>
        <w:t xml:space="preserve"> elite</w:t>
      </w:r>
      <w:r w:rsidR="00915D40">
        <w:rPr>
          <w:rFonts w:ascii="Georgia" w:hAnsi="Georgia"/>
          <w:bCs/>
        </w:rPr>
        <w:t xml:space="preserve"> trust perceptions? Is it possible to create a robust comparative measure? Are different types of measurement needed for different trust relationships?</w:t>
      </w:r>
    </w:p>
    <w:p w14:paraId="5DCCA877" w14:textId="77777777" w:rsidR="00951729" w:rsidRPr="0007064B" w:rsidRDefault="00951729" w:rsidP="00951729">
      <w:pPr>
        <w:jc w:val="both"/>
        <w:rPr>
          <w:rFonts w:ascii="Georgia" w:hAnsi="Georgia"/>
          <w:bCs/>
          <w:i/>
          <w:iCs/>
        </w:rPr>
      </w:pPr>
    </w:p>
    <w:p w14:paraId="0C5BC8DD" w14:textId="2D55A7D5" w:rsidR="006F18D4" w:rsidRPr="0007064B" w:rsidRDefault="00915D40" w:rsidP="00951729">
      <w:pPr>
        <w:pStyle w:val="ListParagraph"/>
        <w:numPr>
          <w:ilvl w:val="0"/>
          <w:numId w:val="5"/>
        </w:numPr>
        <w:jc w:val="both"/>
        <w:rPr>
          <w:rFonts w:ascii="Georgia" w:hAnsi="Georgia"/>
          <w:bCs/>
          <w:i/>
          <w:iCs/>
        </w:rPr>
      </w:pPr>
      <w:r w:rsidRPr="0007064B">
        <w:rPr>
          <w:rFonts w:ascii="Georgia" w:hAnsi="Georgia"/>
          <w:bCs/>
          <w:i/>
          <w:iCs/>
        </w:rPr>
        <w:t>Can we m</w:t>
      </w:r>
      <w:r w:rsidR="006F18D4" w:rsidRPr="0007064B">
        <w:rPr>
          <w:rFonts w:ascii="Georgia" w:hAnsi="Georgia"/>
          <w:bCs/>
          <w:i/>
          <w:iCs/>
        </w:rPr>
        <w:t xml:space="preserve">ap </w:t>
      </w:r>
      <w:r w:rsidRPr="0007064B">
        <w:rPr>
          <w:rFonts w:ascii="Georgia" w:hAnsi="Georgia"/>
          <w:bCs/>
          <w:i/>
          <w:iCs/>
        </w:rPr>
        <w:t xml:space="preserve">hypothetical </w:t>
      </w:r>
      <w:r w:rsidR="006F18D4" w:rsidRPr="0007064B">
        <w:rPr>
          <w:rFonts w:ascii="Georgia" w:hAnsi="Georgia"/>
          <w:bCs/>
          <w:i/>
          <w:iCs/>
        </w:rPr>
        <w:t xml:space="preserve">states of perceptual </w:t>
      </w:r>
      <w:r w:rsidRPr="0007064B">
        <w:rPr>
          <w:rFonts w:ascii="Georgia" w:hAnsi="Georgia"/>
          <w:bCs/>
          <w:i/>
          <w:iCs/>
        </w:rPr>
        <w:t>[in]</w:t>
      </w:r>
      <w:r w:rsidR="006F18D4" w:rsidRPr="0007064B">
        <w:rPr>
          <w:rFonts w:ascii="Georgia" w:hAnsi="Georgia"/>
          <w:bCs/>
          <w:i/>
          <w:iCs/>
        </w:rPr>
        <w:t xml:space="preserve">accuracy onto different governing behaviours? </w:t>
      </w:r>
      <w:r w:rsidRPr="0007064B">
        <w:rPr>
          <w:rFonts w:ascii="Georgia" w:hAnsi="Georgia"/>
          <w:bCs/>
          <w:i/>
          <w:iCs/>
        </w:rPr>
        <w:t xml:space="preserve">If so, what are the criteria we should use to ground </w:t>
      </w:r>
      <w:r w:rsidR="003207F8">
        <w:rPr>
          <w:rFonts w:ascii="Georgia" w:hAnsi="Georgia"/>
          <w:bCs/>
          <w:i/>
          <w:iCs/>
        </w:rPr>
        <w:t xml:space="preserve">our </w:t>
      </w:r>
      <w:r w:rsidRPr="0007064B">
        <w:rPr>
          <w:rFonts w:ascii="Georgia" w:hAnsi="Georgia"/>
          <w:bCs/>
          <w:i/>
          <w:iCs/>
        </w:rPr>
        <w:t>predictions?</w:t>
      </w:r>
    </w:p>
    <w:p w14:paraId="47953DC2" w14:textId="77777777" w:rsidR="00915D40" w:rsidRDefault="00915D40" w:rsidP="00915D40">
      <w:pPr>
        <w:jc w:val="both"/>
        <w:rPr>
          <w:rFonts w:ascii="Georgia" w:hAnsi="Georgia"/>
          <w:bCs/>
        </w:rPr>
      </w:pPr>
    </w:p>
    <w:p w14:paraId="04309362" w14:textId="2CA8F78F" w:rsidR="00915D40" w:rsidRPr="00915D40" w:rsidRDefault="00915D40" w:rsidP="00915D40">
      <w:pPr>
        <w:pStyle w:val="ListParagraph"/>
        <w:numPr>
          <w:ilvl w:val="0"/>
          <w:numId w:val="7"/>
        </w:numPr>
        <w:jc w:val="both"/>
        <w:rPr>
          <w:rFonts w:ascii="Georgia" w:hAnsi="Georgia"/>
          <w:bCs/>
        </w:rPr>
      </w:pPr>
      <w:r>
        <w:rPr>
          <w:rFonts w:ascii="Georgia" w:hAnsi="Georgia"/>
          <w:bCs/>
        </w:rPr>
        <w:t xml:space="preserve">In the same way that public trust judgements help citizens to resolve uncertainty and make themselves vulnerable to particular politicians, parties or institutions, it is possible that elite trust perceptions are also activated in situations of risk. Put another way, </w:t>
      </w:r>
      <w:r w:rsidR="002C63BC">
        <w:rPr>
          <w:rFonts w:ascii="Georgia" w:hAnsi="Georgia"/>
          <w:bCs/>
        </w:rPr>
        <w:t xml:space="preserve">trust perceptions may help elites to decide between different options in an occupational setting by providing a bellwether of anticipated reactions among relevant audiences. If this holds, then what are the different risk reference points that might heighten the saliency of trust perceptions in each of the trust-based relationships listed above? Which elite behaviours are more or less likely to </w:t>
      </w:r>
      <w:r w:rsidR="003207F8">
        <w:rPr>
          <w:rFonts w:ascii="Georgia" w:hAnsi="Georgia"/>
          <w:bCs/>
        </w:rPr>
        <w:t>be influenced by</w:t>
      </w:r>
      <w:r w:rsidR="002C63BC">
        <w:rPr>
          <w:rFonts w:ascii="Georgia" w:hAnsi="Georgia"/>
          <w:bCs/>
        </w:rPr>
        <w:t xml:space="preserve"> trust perceptions?</w:t>
      </w:r>
    </w:p>
    <w:p w14:paraId="5155F14E" w14:textId="77777777" w:rsidR="006F18D4" w:rsidRPr="006F18D4" w:rsidRDefault="006F18D4" w:rsidP="006F18D4">
      <w:pPr>
        <w:pStyle w:val="ListParagraph"/>
        <w:rPr>
          <w:rFonts w:ascii="Georgia" w:hAnsi="Georgia"/>
          <w:bCs/>
        </w:rPr>
      </w:pPr>
    </w:p>
    <w:p w14:paraId="366810B6" w14:textId="1036B6D1" w:rsidR="006F18D4" w:rsidRPr="0007064B" w:rsidRDefault="006F18D4" w:rsidP="00951729">
      <w:pPr>
        <w:pStyle w:val="ListParagraph"/>
        <w:numPr>
          <w:ilvl w:val="0"/>
          <w:numId w:val="5"/>
        </w:numPr>
        <w:jc w:val="both"/>
        <w:rPr>
          <w:rFonts w:ascii="Georgia" w:hAnsi="Georgia"/>
          <w:bCs/>
          <w:i/>
          <w:iCs/>
        </w:rPr>
      </w:pPr>
      <w:r w:rsidRPr="0007064B">
        <w:rPr>
          <w:rFonts w:ascii="Georgia" w:hAnsi="Georgia"/>
          <w:bCs/>
          <w:i/>
          <w:iCs/>
        </w:rPr>
        <w:t>If the perceptual mechanism in political trust-based relationships is broken, how can we intercede to halt spirals of distrust and promote more perceptual accuracy (and is that desirable?)</w:t>
      </w:r>
      <w:r w:rsidR="002C63BC" w:rsidRPr="0007064B">
        <w:rPr>
          <w:rFonts w:ascii="Georgia" w:hAnsi="Georgia"/>
          <w:bCs/>
          <w:i/>
          <w:iCs/>
        </w:rPr>
        <w:t>?</w:t>
      </w:r>
    </w:p>
    <w:p w14:paraId="6F21D5F2" w14:textId="77777777" w:rsidR="002C63BC" w:rsidRDefault="002C63BC" w:rsidP="002C63BC">
      <w:pPr>
        <w:jc w:val="both"/>
        <w:rPr>
          <w:rFonts w:ascii="Georgia" w:hAnsi="Georgia"/>
          <w:bCs/>
        </w:rPr>
      </w:pPr>
    </w:p>
    <w:p w14:paraId="02EBD30C" w14:textId="64E5229E" w:rsidR="002C63BC" w:rsidRDefault="002C63BC" w:rsidP="002C63BC">
      <w:pPr>
        <w:pStyle w:val="ListParagraph"/>
        <w:numPr>
          <w:ilvl w:val="0"/>
          <w:numId w:val="7"/>
        </w:numPr>
        <w:jc w:val="both"/>
        <w:rPr>
          <w:rFonts w:ascii="Georgia" w:hAnsi="Georgia"/>
          <w:bCs/>
        </w:rPr>
      </w:pPr>
      <w:r>
        <w:rPr>
          <w:rFonts w:ascii="Georgia" w:hAnsi="Georgia"/>
          <w:bCs/>
        </w:rPr>
        <w:t xml:space="preserve">The final question is solutions-focused and presupposes that elite perceptions of trust and distrust are </w:t>
      </w:r>
      <w:r w:rsidR="00984B93">
        <w:rPr>
          <w:rFonts w:ascii="Georgia" w:hAnsi="Georgia"/>
          <w:bCs/>
        </w:rPr>
        <w:t xml:space="preserve">indeed </w:t>
      </w:r>
      <w:r>
        <w:rPr>
          <w:rFonts w:ascii="Georgia" w:hAnsi="Georgia"/>
          <w:bCs/>
        </w:rPr>
        <w:t xml:space="preserve">out-of-step with public opinion. What are the options available to us as researchers and what do these look like in practice? For example, are interventions best targeted at a local level by increasing </w:t>
      </w:r>
      <w:r w:rsidR="0007064B">
        <w:rPr>
          <w:rFonts w:ascii="Georgia" w:hAnsi="Georgia"/>
          <w:bCs/>
        </w:rPr>
        <w:t xml:space="preserve">the amount </w:t>
      </w:r>
      <w:r>
        <w:rPr>
          <w:rFonts w:ascii="Georgia" w:hAnsi="Georgia"/>
          <w:bCs/>
        </w:rPr>
        <w:t xml:space="preserve">of political contact </w:t>
      </w:r>
      <w:r w:rsidR="0007064B">
        <w:rPr>
          <w:rFonts w:ascii="Georgia" w:hAnsi="Georgia"/>
          <w:bCs/>
        </w:rPr>
        <w:t xml:space="preserve">between elites and citizens </w:t>
      </w:r>
      <w:r>
        <w:rPr>
          <w:rFonts w:ascii="Georgia" w:hAnsi="Georgia"/>
          <w:bCs/>
        </w:rPr>
        <w:t xml:space="preserve">(see prior work on the contact hypothesis in Psychology) or can meta-interventions be built into our political processes and </w:t>
      </w:r>
      <w:r>
        <w:rPr>
          <w:rFonts w:ascii="Georgia" w:hAnsi="Georgia"/>
          <w:bCs/>
        </w:rPr>
        <w:lastRenderedPageBreak/>
        <w:t>institutions that encourage or incentivise elites to think more carefully about public trust?</w:t>
      </w:r>
    </w:p>
    <w:p w14:paraId="70823D39" w14:textId="77777777" w:rsidR="002C63BC" w:rsidRDefault="002C63BC" w:rsidP="002C63BC">
      <w:pPr>
        <w:jc w:val="both"/>
        <w:rPr>
          <w:rFonts w:ascii="Georgia" w:hAnsi="Georgia"/>
          <w:bCs/>
        </w:rPr>
      </w:pPr>
    </w:p>
    <w:p w14:paraId="7A5F2FFE" w14:textId="252174FD" w:rsidR="002C63BC" w:rsidRPr="003B11F7" w:rsidRDefault="002C63BC" w:rsidP="002C63BC">
      <w:pPr>
        <w:jc w:val="both"/>
        <w:rPr>
          <w:rFonts w:ascii="Georgia" w:hAnsi="Georgia"/>
          <w:b/>
        </w:rPr>
      </w:pPr>
      <w:r w:rsidRPr="003B11F7">
        <w:rPr>
          <w:rFonts w:ascii="Georgia" w:hAnsi="Georgia"/>
          <w:b/>
        </w:rPr>
        <w:t>References</w:t>
      </w:r>
    </w:p>
    <w:p w14:paraId="6A71CE0F" w14:textId="77777777" w:rsidR="002C63BC" w:rsidRDefault="002C63BC" w:rsidP="002C63BC">
      <w:pPr>
        <w:jc w:val="both"/>
        <w:rPr>
          <w:rFonts w:ascii="Georgia" w:hAnsi="Georgia"/>
          <w:bCs/>
        </w:rPr>
      </w:pPr>
    </w:p>
    <w:p w14:paraId="268597BC" w14:textId="22404E6C" w:rsidR="003B11F7" w:rsidRDefault="003B11F7" w:rsidP="003B11F7">
      <w:pPr>
        <w:ind w:left="720" w:hanging="720"/>
        <w:jc w:val="both"/>
        <w:rPr>
          <w:rFonts w:ascii="Georgia" w:hAnsi="Georgia"/>
          <w:bCs/>
        </w:rPr>
      </w:pPr>
      <w:r w:rsidRPr="003B11F7">
        <w:rPr>
          <w:rFonts w:ascii="Georgia" w:hAnsi="Georgia"/>
          <w:bCs/>
        </w:rPr>
        <w:t>Clark, M. C., &amp; Payne, R. L. (1997). The nature and structure of workers' trust in management. </w:t>
      </w:r>
      <w:r w:rsidRPr="003B11F7">
        <w:rPr>
          <w:rFonts w:ascii="Georgia" w:hAnsi="Georgia"/>
          <w:bCs/>
          <w:i/>
          <w:iCs/>
        </w:rPr>
        <w:t>Journal of Organizational Behavio</w:t>
      </w:r>
      <w:r>
        <w:rPr>
          <w:rFonts w:ascii="Georgia" w:hAnsi="Georgia"/>
          <w:bCs/>
          <w:i/>
          <w:iCs/>
        </w:rPr>
        <w:t>r</w:t>
      </w:r>
      <w:r w:rsidRPr="003B11F7">
        <w:rPr>
          <w:rFonts w:ascii="Georgia" w:hAnsi="Georgia"/>
          <w:bCs/>
        </w:rPr>
        <w:t>, </w:t>
      </w:r>
      <w:r w:rsidRPr="003B11F7">
        <w:rPr>
          <w:rFonts w:ascii="Georgia" w:hAnsi="Georgia"/>
          <w:bCs/>
          <w:i/>
          <w:iCs/>
        </w:rPr>
        <w:t>18</w:t>
      </w:r>
      <w:r w:rsidRPr="003B11F7">
        <w:rPr>
          <w:rFonts w:ascii="Georgia" w:hAnsi="Georgia"/>
          <w:bCs/>
        </w:rPr>
        <w:t>(3)</w:t>
      </w:r>
      <w:r>
        <w:rPr>
          <w:rFonts w:ascii="Georgia" w:hAnsi="Georgia"/>
          <w:bCs/>
        </w:rPr>
        <w:t>:</w:t>
      </w:r>
      <w:r w:rsidRPr="003B11F7">
        <w:rPr>
          <w:rFonts w:ascii="Georgia" w:hAnsi="Georgia"/>
          <w:bCs/>
        </w:rPr>
        <w:t xml:space="preserve"> 205-224.</w:t>
      </w:r>
    </w:p>
    <w:p w14:paraId="28F580B7" w14:textId="180D4800" w:rsidR="003B11F7" w:rsidRDefault="003B11F7" w:rsidP="003B11F7">
      <w:pPr>
        <w:ind w:left="720" w:hanging="720"/>
        <w:jc w:val="both"/>
        <w:rPr>
          <w:rFonts w:ascii="Georgia" w:hAnsi="Georgia"/>
          <w:bCs/>
        </w:rPr>
      </w:pPr>
      <w:r w:rsidRPr="003B11F7">
        <w:rPr>
          <w:rFonts w:ascii="Georgia" w:hAnsi="Georgia"/>
          <w:bCs/>
        </w:rPr>
        <w:t>Green, J., &amp; Jennings, W. (2017). </w:t>
      </w:r>
      <w:r w:rsidRPr="003B11F7">
        <w:rPr>
          <w:rFonts w:ascii="Georgia" w:hAnsi="Georgia"/>
          <w:bCs/>
          <w:i/>
          <w:iCs/>
        </w:rPr>
        <w:t>The politics of competence: Parties, public opinion and voters</w:t>
      </w:r>
      <w:r w:rsidRPr="003B11F7">
        <w:rPr>
          <w:rFonts w:ascii="Georgia" w:hAnsi="Georgia"/>
          <w:bCs/>
        </w:rPr>
        <w:t>. Cambridge University Press.</w:t>
      </w:r>
    </w:p>
    <w:p w14:paraId="0ECF4DC5" w14:textId="508FD568" w:rsidR="003B11F7" w:rsidRDefault="003B11F7" w:rsidP="003B11F7">
      <w:pPr>
        <w:ind w:left="720" w:hanging="720"/>
        <w:jc w:val="both"/>
        <w:rPr>
          <w:rFonts w:ascii="Georgia" w:hAnsi="Georgia"/>
          <w:bCs/>
        </w:rPr>
      </w:pPr>
      <w:r w:rsidRPr="003B11F7">
        <w:rPr>
          <w:rFonts w:ascii="Georgia" w:hAnsi="Georgia"/>
          <w:bCs/>
        </w:rPr>
        <w:t>Hamm, J. A., Smidt, C., &amp; Mayer, R. C. (2019). Understanding the psychological nature and mechanisms of political trust. </w:t>
      </w:r>
      <w:r w:rsidRPr="003B11F7">
        <w:rPr>
          <w:rFonts w:ascii="Georgia" w:hAnsi="Georgia"/>
          <w:bCs/>
          <w:i/>
          <w:iCs/>
        </w:rPr>
        <w:t>PloS one</w:t>
      </w:r>
      <w:r w:rsidRPr="003B11F7">
        <w:rPr>
          <w:rFonts w:ascii="Georgia" w:hAnsi="Georgia"/>
          <w:bCs/>
        </w:rPr>
        <w:t>, </w:t>
      </w:r>
      <w:r w:rsidRPr="003B11F7">
        <w:rPr>
          <w:rFonts w:ascii="Georgia" w:hAnsi="Georgia"/>
          <w:bCs/>
          <w:i/>
          <w:iCs/>
        </w:rPr>
        <w:t>14</w:t>
      </w:r>
      <w:r w:rsidRPr="003B11F7">
        <w:rPr>
          <w:rFonts w:ascii="Georgia" w:hAnsi="Georgia"/>
          <w:bCs/>
        </w:rPr>
        <w:t>(5), e0215835.</w:t>
      </w:r>
    </w:p>
    <w:p w14:paraId="421FD4F9" w14:textId="38FAD378" w:rsidR="003B11F7" w:rsidRDefault="003B11F7" w:rsidP="003B11F7">
      <w:pPr>
        <w:ind w:left="720" w:hanging="720"/>
        <w:jc w:val="both"/>
        <w:rPr>
          <w:rFonts w:ascii="Georgia" w:hAnsi="Georgia"/>
          <w:bCs/>
        </w:rPr>
      </w:pPr>
      <w:r w:rsidRPr="003B11F7">
        <w:rPr>
          <w:rFonts w:ascii="Georgia" w:hAnsi="Georgia"/>
          <w:bCs/>
        </w:rPr>
        <w:t>Haugsgjerd</w:t>
      </w:r>
      <w:r>
        <w:rPr>
          <w:rFonts w:ascii="Georgia" w:hAnsi="Georgia"/>
          <w:bCs/>
        </w:rPr>
        <w:t>, A.,</w:t>
      </w:r>
      <w:r w:rsidRPr="003B11F7">
        <w:rPr>
          <w:rFonts w:ascii="Georgia" w:hAnsi="Georgia"/>
          <w:bCs/>
        </w:rPr>
        <w:t xml:space="preserve"> &amp; Kumlin</w:t>
      </w:r>
      <w:r>
        <w:rPr>
          <w:rFonts w:ascii="Georgia" w:hAnsi="Georgia"/>
          <w:bCs/>
        </w:rPr>
        <w:t>, S.</w:t>
      </w:r>
      <w:r w:rsidRPr="003B11F7">
        <w:rPr>
          <w:rFonts w:ascii="Georgia" w:hAnsi="Georgia"/>
          <w:bCs/>
        </w:rPr>
        <w:t> (2020)</w:t>
      </w:r>
      <w:r>
        <w:rPr>
          <w:rFonts w:ascii="Georgia" w:hAnsi="Georgia"/>
          <w:bCs/>
        </w:rPr>
        <w:t>.</w:t>
      </w:r>
      <w:r w:rsidRPr="003B11F7">
        <w:rPr>
          <w:rFonts w:ascii="Georgia" w:hAnsi="Georgia"/>
          <w:bCs/>
        </w:rPr>
        <w:t> Downbound spiral? Economic grievances, perceived social protection and political distrust, </w:t>
      </w:r>
      <w:r w:rsidRPr="003B11F7">
        <w:rPr>
          <w:rFonts w:ascii="Georgia" w:hAnsi="Georgia"/>
          <w:bCs/>
          <w:i/>
          <w:iCs/>
        </w:rPr>
        <w:t>West European Politics</w:t>
      </w:r>
      <w:r w:rsidRPr="003B11F7">
        <w:rPr>
          <w:rFonts w:ascii="Georgia" w:hAnsi="Georgia"/>
          <w:bCs/>
        </w:rPr>
        <w:t>, 43</w:t>
      </w:r>
      <w:r>
        <w:rPr>
          <w:rFonts w:ascii="Georgia" w:hAnsi="Georgia"/>
          <w:bCs/>
        </w:rPr>
        <w:t>(</w:t>
      </w:r>
      <w:r w:rsidRPr="003B11F7">
        <w:rPr>
          <w:rFonts w:ascii="Georgia" w:hAnsi="Georgia"/>
          <w:bCs/>
        </w:rPr>
        <w:t>4</w:t>
      </w:r>
      <w:r>
        <w:rPr>
          <w:rFonts w:ascii="Georgia" w:hAnsi="Georgia"/>
          <w:bCs/>
        </w:rPr>
        <w:t>):</w:t>
      </w:r>
      <w:r w:rsidRPr="003B11F7">
        <w:rPr>
          <w:rFonts w:ascii="Georgia" w:hAnsi="Georgia"/>
          <w:bCs/>
        </w:rPr>
        <w:t> 969-990</w:t>
      </w:r>
      <w:r>
        <w:rPr>
          <w:rFonts w:ascii="Georgia" w:hAnsi="Georgia"/>
          <w:bCs/>
        </w:rPr>
        <w:t>.</w:t>
      </w:r>
    </w:p>
    <w:p w14:paraId="0C35283C" w14:textId="07F99B61" w:rsidR="0007064B" w:rsidRDefault="0007064B" w:rsidP="003B11F7">
      <w:pPr>
        <w:ind w:left="720" w:hanging="720"/>
        <w:jc w:val="both"/>
        <w:rPr>
          <w:rFonts w:ascii="Georgia" w:hAnsi="Georgia"/>
          <w:bCs/>
        </w:rPr>
      </w:pPr>
      <w:r w:rsidRPr="0007064B">
        <w:rPr>
          <w:rFonts w:ascii="Georgia" w:hAnsi="Georgia"/>
          <w:bCs/>
        </w:rPr>
        <w:t>Legood,</w:t>
      </w:r>
      <w:r>
        <w:rPr>
          <w:rFonts w:ascii="Georgia" w:hAnsi="Georgia"/>
          <w:bCs/>
        </w:rPr>
        <w:t xml:space="preserve"> A.,</w:t>
      </w:r>
      <w:r w:rsidRPr="0007064B">
        <w:rPr>
          <w:rFonts w:ascii="Georgia" w:hAnsi="Georgia"/>
          <w:bCs/>
        </w:rPr>
        <w:t xml:space="preserve"> van der Werff,</w:t>
      </w:r>
      <w:r>
        <w:rPr>
          <w:rFonts w:ascii="Georgia" w:hAnsi="Georgia"/>
          <w:bCs/>
        </w:rPr>
        <w:t xml:space="preserve"> L., L</w:t>
      </w:r>
      <w:r w:rsidRPr="0007064B">
        <w:rPr>
          <w:rFonts w:ascii="Georgia" w:hAnsi="Georgia"/>
          <w:bCs/>
        </w:rPr>
        <w:t>ee</w:t>
      </w:r>
      <w:r>
        <w:rPr>
          <w:rFonts w:ascii="Georgia" w:hAnsi="Georgia"/>
          <w:bCs/>
        </w:rPr>
        <w:t>, A.</w:t>
      </w:r>
      <w:r w:rsidRPr="0007064B">
        <w:rPr>
          <w:rFonts w:ascii="Georgia" w:hAnsi="Georgia"/>
          <w:bCs/>
        </w:rPr>
        <w:t xml:space="preserve"> &amp;</w:t>
      </w:r>
      <w:r>
        <w:rPr>
          <w:rFonts w:ascii="Georgia" w:hAnsi="Georgia"/>
          <w:bCs/>
        </w:rPr>
        <w:t xml:space="preserve"> </w:t>
      </w:r>
      <w:r w:rsidRPr="0007064B">
        <w:rPr>
          <w:rFonts w:ascii="Georgia" w:hAnsi="Georgia"/>
          <w:bCs/>
        </w:rPr>
        <w:t>Den Hartog</w:t>
      </w:r>
      <w:r>
        <w:rPr>
          <w:rFonts w:ascii="Georgia" w:hAnsi="Georgia"/>
          <w:bCs/>
        </w:rPr>
        <w:t>, D.</w:t>
      </w:r>
      <w:r w:rsidRPr="0007064B">
        <w:rPr>
          <w:rFonts w:ascii="Georgia" w:hAnsi="Georgia"/>
          <w:bCs/>
        </w:rPr>
        <w:t> (202</w:t>
      </w:r>
      <w:r>
        <w:rPr>
          <w:rFonts w:ascii="Georgia" w:hAnsi="Georgia"/>
          <w:bCs/>
        </w:rPr>
        <w:t>0</w:t>
      </w:r>
      <w:r w:rsidRPr="0007064B">
        <w:rPr>
          <w:rFonts w:ascii="Georgia" w:hAnsi="Georgia"/>
          <w:bCs/>
        </w:rPr>
        <w:t>)</w:t>
      </w:r>
      <w:r>
        <w:rPr>
          <w:rFonts w:ascii="Georgia" w:hAnsi="Georgia"/>
          <w:bCs/>
        </w:rPr>
        <w:t>.</w:t>
      </w:r>
      <w:r w:rsidRPr="0007064B">
        <w:rPr>
          <w:rFonts w:ascii="Georgia" w:hAnsi="Georgia"/>
          <w:bCs/>
        </w:rPr>
        <w:t> A meta-analysis of the role of trust in the leadership-performance relationship, </w:t>
      </w:r>
      <w:r w:rsidRPr="0007064B">
        <w:rPr>
          <w:rFonts w:ascii="Georgia" w:hAnsi="Georgia"/>
          <w:bCs/>
          <w:i/>
          <w:iCs/>
        </w:rPr>
        <w:t>European Journal of Work and Organizational Psychology</w:t>
      </w:r>
      <w:r w:rsidRPr="0007064B">
        <w:rPr>
          <w:rFonts w:ascii="Georgia" w:hAnsi="Georgia"/>
          <w:bCs/>
        </w:rPr>
        <w:t>, 30</w:t>
      </w:r>
      <w:r>
        <w:rPr>
          <w:rFonts w:ascii="Georgia" w:hAnsi="Georgia"/>
          <w:bCs/>
        </w:rPr>
        <w:t>(</w:t>
      </w:r>
      <w:r w:rsidRPr="0007064B">
        <w:rPr>
          <w:rFonts w:ascii="Georgia" w:hAnsi="Georgia"/>
          <w:bCs/>
        </w:rPr>
        <w:t>1</w:t>
      </w:r>
      <w:r>
        <w:rPr>
          <w:rFonts w:ascii="Georgia" w:hAnsi="Georgia"/>
          <w:bCs/>
        </w:rPr>
        <w:t>):</w:t>
      </w:r>
      <w:r w:rsidRPr="0007064B">
        <w:rPr>
          <w:rFonts w:ascii="Georgia" w:hAnsi="Georgia"/>
          <w:bCs/>
        </w:rPr>
        <w:t> 1-22</w:t>
      </w:r>
      <w:r>
        <w:rPr>
          <w:rFonts w:ascii="Georgia" w:hAnsi="Georgia"/>
          <w:bCs/>
        </w:rPr>
        <w:t>.</w:t>
      </w:r>
    </w:p>
    <w:p w14:paraId="7B809019" w14:textId="5EDC748F" w:rsidR="002C63BC" w:rsidRDefault="002C63BC" w:rsidP="003B11F7">
      <w:pPr>
        <w:ind w:left="720" w:hanging="720"/>
        <w:jc w:val="both"/>
        <w:rPr>
          <w:rFonts w:ascii="Georgia" w:hAnsi="Georgia"/>
          <w:bCs/>
        </w:rPr>
      </w:pPr>
      <w:r w:rsidRPr="002C63BC">
        <w:rPr>
          <w:rFonts w:ascii="Georgia" w:hAnsi="Georgia"/>
          <w:bCs/>
        </w:rPr>
        <w:t xml:space="preserve">Metzger, Miriam M and Andrew J Flanagin (2013) ‘Credibility and trust of information in online environments: The use of cognitive heuristics’, </w:t>
      </w:r>
      <w:r w:rsidRPr="002C63BC">
        <w:rPr>
          <w:rFonts w:ascii="Georgia" w:hAnsi="Georgia"/>
          <w:bCs/>
          <w:i/>
          <w:iCs/>
        </w:rPr>
        <w:t>Journal of Pragmatics</w:t>
      </w:r>
      <w:r w:rsidRPr="002C63BC">
        <w:rPr>
          <w:rFonts w:ascii="Georgia" w:hAnsi="Georgia"/>
          <w:bCs/>
        </w:rPr>
        <w:t>, 59: 210-220</w:t>
      </w:r>
      <w:r w:rsidR="003B11F7">
        <w:rPr>
          <w:rFonts w:ascii="Georgia" w:hAnsi="Georgia"/>
          <w:bCs/>
        </w:rPr>
        <w:t>.</w:t>
      </w:r>
    </w:p>
    <w:p w14:paraId="24F02E3E" w14:textId="4A706E69" w:rsidR="003B11F7" w:rsidRDefault="002C63BC" w:rsidP="003B11F7">
      <w:pPr>
        <w:ind w:left="720" w:hanging="720"/>
        <w:jc w:val="both"/>
        <w:rPr>
          <w:rFonts w:ascii="Georgia" w:hAnsi="Georgia"/>
          <w:bCs/>
        </w:rPr>
      </w:pPr>
      <w:r w:rsidRPr="002C63BC">
        <w:rPr>
          <w:rFonts w:ascii="Georgia" w:hAnsi="Georgia"/>
          <w:bCs/>
        </w:rPr>
        <w:t xml:space="preserve">Theiss-Morse, Elizabeth and Donna-Gene Barton (2017) ‘Emotion, cognition and political trust’, in Sonja Zmerli and Tom W.G. van der Meer, eds (2018) </w:t>
      </w:r>
      <w:r w:rsidRPr="002C63BC">
        <w:rPr>
          <w:rFonts w:ascii="Georgia" w:hAnsi="Georgia"/>
          <w:bCs/>
          <w:i/>
          <w:iCs/>
        </w:rPr>
        <w:t>Handbook on Political Trust</w:t>
      </w:r>
      <w:r w:rsidRPr="002C63BC">
        <w:rPr>
          <w:rFonts w:ascii="Georgia" w:hAnsi="Georgia"/>
          <w:bCs/>
        </w:rPr>
        <w:t>, Cheltenham, UK: Edward Elgar</w:t>
      </w:r>
      <w:r w:rsidR="003B11F7">
        <w:rPr>
          <w:rFonts w:ascii="Georgia" w:hAnsi="Georgia"/>
          <w:bCs/>
        </w:rPr>
        <w:t>.</w:t>
      </w:r>
    </w:p>
    <w:p w14:paraId="5ACC6FB9" w14:textId="56489187" w:rsidR="003B11F7" w:rsidRDefault="003B11F7" w:rsidP="003B11F7">
      <w:pPr>
        <w:ind w:left="720" w:hanging="720"/>
        <w:jc w:val="both"/>
        <w:rPr>
          <w:rFonts w:ascii="Georgia" w:hAnsi="Georgia"/>
          <w:bCs/>
        </w:rPr>
      </w:pPr>
      <w:r w:rsidRPr="003207F8">
        <w:rPr>
          <w:rFonts w:ascii="Georgia" w:hAnsi="Georgia"/>
          <w:bCs/>
          <w:lang w:val="nl-NL"/>
        </w:rPr>
        <w:t xml:space="preserve">Walgrave, S., Soroka, S., Loewen, P., Sheafer, T., &amp; Soontjens, K. (2022). </w:t>
      </w:r>
      <w:r w:rsidRPr="003B11F7">
        <w:rPr>
          <w:rFonts w:ascii="Georgia" w:hAnsi="Georgia"/>
          <w:bCs/>
        </w:rPr>
        <w:t>Revisiting Elite Perceptions as Mediator of Elite Responsiveness to Public Opinion. </w:t>
      </w:r>
      <w:r w:rsidRPr="003B11F7">
        <w:rPr>
          <w:rFonts w:ascii="Georgia" w:hAnsi="Georgia"/>
          <w:bCs/>
          <w:i/>
          <w:iCs/>
        </w:rPr>
        <w:t>Political Studies</w:t>
      </w:r>
      <w:r w:rsidRPr="003B11F7">
        <w:rPr>
          <w:rFonts w:ascii="Georgia" w:hAnsi="Georgia"/>
          <w:bCs/>
        </w:rPr>
        <w:t>, 00323217221105170.</w:t>
      </w:r>
    </w:p>
    <w:p w14:paraId="7A311BD5" w14:textId="3903CAA6" w:rsidR="003B11F7" w:rsidRDefault="003B11F7" w:rsidP="003B11F7">
      <w:pPr>
        <w:ind w:left="720" w:hanging="720"/>
        <w:jc w:val="both"/>
        <w:rPr>
          <w:rFonts w:ascii="Georgia" w:hAnsi="Georgia"/>
          <w:bCs/>
        </w:rPr>
      </w:pPr>
      <w:r w:rsidRPr="003B11F7">
        <w:rPr>
          <w:rFonts w:ascii="Georgia" w:hAnsi="Georgia"/>
          <w:bCs/>
        </w:rPr>
        <w:t>Weinberg, J. (2022). Feelings of Trust, Distrust and Risky Decision-Making in Political Office. An Experimental Study With National Politicians in Three Democracies. </w:t>
      </w:r>
      <w:r w:rsidRPr="003B11F7">
        <w:rPr>
          <w:rFonts w:ascii="Georgia" w:hAnsi="Georgia"/>
          <w:bCs/>
          <w:i/>
          <w:iCs/>
        </w:rPr>
        <w:t>Comparative Political Studies</w:t>
      </w:r>
      <w:r w:rsidRPr="003B11F7">
        <w:rPr>
          <w:rFonts w:ascii="Georgia" w:hAnsi="Georgia"/>
          <w:bCs/>
        </w:rPr>
        <w:t xml:space="preserve">, </w:t>
      </w:r>
      <w:r w:rsidRPr="003B11F7">
        <w:rPr>
          <w:rFonts w:ascii="Georgia" w:hAnsi="Georgia"/>
          <w:bCs/>
          <w:i/>
          <w:iCs/>
        </w:rPr>
        <w:t>56</w:t>
      </w:r>
      <w:r w:rsidRPr="003B11F7">
        <w:rPr>
          <w:rFonts w:ascii="Georgia" w:hAnsi="Georgia"/>
          <w:bCs/>
        </w:rPr>
        <w:t>(7)</w:t>
      </w:r>
      <w:r>
        <w:rPr>
          <w:rFonts w:ascii="Georgia" w:hAnsi="Georgia"/>
          <w:bCs/>
        </w:rPr>
        <w:t>:</w:t>
      </w:r>
      <w:r w:rsidRPr="003B11F7">
        <w:rPr>
          <w:rFonts w:ascii="Georgia" w:hAnsi="Georgia"/>
          <w:bCs/>
        </w:rPr>
        <w:t xml:space="preserve"> 935–967.</w:t>
      </w:r>
    </w:p>
    <w:p w14:paraId="79BA2FFB" w14:textId="6F404001" w:rsidR="003B11F7" w:rsidRPr="003B11F7" w:rsidRDefault="003B11F7" w:rsidP="003B11F7">
      <w:pPr>
        <w:ind w:left="720" w:hanging="720"/>
        <w:jc w:val="both"/>
        <w:rPr>
          <w:rFonts w:ascii="Georgia" w:hAnsi="Georgia"/>
          <w:bCs/>
        </w:rPr>
      </w:pPr>
      <w:r w:rsidRPr="003B11F7">
        <w:rPr>
          <w:rFonts w:ascii="Georgia" w:hAnsi="Georgia"/>
          <w:bCs/>
        </w:rPr>
        <w:t>Weinberg, J. (</w:t>
      </w:r>
      <w:r>
        <w:rPr>
          <w:rFonts w:ascii="Georgia" w:hAnsi="Georgia"/>
          <w:bCs/>
        </w:rPr>
        <w:t>In press [2023]</w:t>
      </w:r>
      <w:r w:rsidRPr="003B11F7">
        <w:rPr>
          <w:rFonts w:ascii="Georgia" w:hAnsi="Georgia"/>
          <w:bCs/>
        </w:rPr>
        <w:t>). </w:t>
      </w:r>
      <w:r>
        <w:rPr>
          <w:rFonts w:ascii="Georgia" w:hAnsi="Georgia"/>
          <w:bCs/>
          <w:i/>
          <w:iCs/>
        </w:rPr>
        <w:t>Governing in an Age of Distrust</w:t>
      </w:r>
      <w:r w:rsidRPr="003B11F7">
        <w:rPr>
          <w:rFonts w:ascii="Georgia" w:hAnsi="Georgia"/>
          <w:bCs/>
        </w:rPr>
        <w:t xml:space="preserve">. </w:t>
      </w:r>
      <w:r>
        <w:rPr>
          <w:rFonts w:ascii="Georgia" w:hAnsi="Georgia"/>
          <w:bCs/>
        </w:rPr>
        <w:t>Oxford</w:t>
      </w:r>
      <w:r w:rsidR="00F94D16">
        <w:rPr>
          <w:rFonts w:ascii="Georgia" w:hAnsi="Georgia"/>
          <w:bCs/>
        </w:rPr>
        <w:t>, UK</w:t>
      </w:r>
      <w:r>
        <w:rPr>
          <w:rFonts w:ascii="Georgia" w:hAnsi="Georgia"/>
          <w:bCs/>
        </w:rPr>
        <w:t>: Oxford</w:t>
      </w:r>
      <w:r w:rsidRPr="003B11F7">
        <w:rPr>
          <w:rFonts w:ascii="Georgia" w:hAnsi="Georgia"/>
          <w:bCs/>
        </w:rPr>
        <w:t xml:space="preserve"> University Press.</w:t>
      </w:r>
    </w:p>
    <w:p w14:paraId="2105AD17" w14:textId="77777777" w:rsidR="003B11F7" w:rsidRPr="002C63BC" w:rsidRDefault="003B11F7" w:rsidP="003B11F7">
      <w:pPr>
        <w:ind w:left="720" w:hanging="720"/>
        <w:jc w:val="both"/>
        <w:rPr>
          <w:rFonts w:ascii="Georgia" w:hAnsi="Georgia"/>
          <w:bCs/>
        </w:rPr>
      </w:pPr>
    </w:p>
    <w:p w14:paraId="232EC404" w14:textId="77777777" w:rsidR="002C63BC" w:rsidRPr="002C63BC" w:rsidRDefault="002C63BC" w:rsidP="002C63BC">
      <w:pPr>
        <w:jc w:val="both"/>
        <w:rPr>
          <w:rFonts w:ascii="Georgia" w:hAnsi="Georgia"/>
          <w:bCs/>
        </w:rPr>
      </w:pPr>
    </w:p>
    <w:p w14:paraId="34BD1244" w14:textId="77777777" w:rsidR="006F18D4" w:rsidRPr="006F18D4" w:rsidRDefault="006F18D4" w:rsidP="006F18D4">
      <w:pPr>
        <w:pStyle w:val="ListParagraph"/>
        <w:rPr>
          <w:rFonts w:ascii="Georgia" w:hAnsi="Georgia"/>
          <w:bCs/>
        </w:rPr>
      </w:pPr>
    </w:p>
    <w:p w14:paraId="7C31ED05" w14:textId="77777777" w:rsidR="004844E9" w:rsidRDefault="004844E9" w:rsidP="005631BA">
      <w:pPr>
        <w:jc w:val="both"/>
        <w:rPr>
          <w:rFonts w:ascii="Georgia" w:hAnsi="Georgia"/>
          <w:bCs/>
        </w:rPr>
      </w:pPr>
    </w:p>
    <w:p w14:paraId="2C39C0AC" w14:textId="77777777" w:rsidR="004844E9" w:rsidRPr="005631BA" w:rsidRDefault="004844E9" w:rsidP="005631BA">
      <w:pPr>
        <w:jc w:val="both"/>
        <w:rPr>
          <w:rFonts w:ascii="Georgia" w:hAnsi="Georgia"/>
          <w:bCs/>
        </w:rPr>
      </w:pPr>
    </w:p>
    <w:p w14:paraId="62F6AF86" w14:textId="2C0C0582" w:rsidR="002F24D6" w:rsidRDefault="002F24D6" w:rsidP="002F24D6"/>
    <w:sectPr w:rsidR="002F24D6" w:rsidSect="00B551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5D2E6" w14:textId="77777777" w:rsidR="0017293B" w:rsidRDefault="0017293B" w:rsidP="00C0511C">
      <w:r>
        <w:separator/>
      </w:r>
    </w:p>
  </w:endnote>
  <w:endnote w:type="continuationSeparator" w:id="0">
    <w:p w14:paraId="0913CD32" w14:textId="77777777" w:rsidR="0017293B" w:rsidRDefault="0017293B" w:rsidP="00C0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A58D" w14:textId="77777777" w:rsidR="0017293B" w:rsidRDefault="0017293B" w:rsidP="00C0511C">
      <w:r>
        <w:separator/>
      </w:r>
    </w:p>
  </w:footnote>
  <w:footnote w:type="continuationSeparator" w:id="0">
    <w:p w14:paraId="152C4853" w14:textId="77777777" w:rsidR="0017293B" w:rsidRDefault="0017293B" w:rsidP="00C0511C">
      <w:r>
        <w:continuationSeparator/>
      </w:r>
    </w:p>
  </w:footnote>
  <w:footnote w:id="1">
    <w:p w14:paraId="3B31787A" w14:textId="4D0544BA" w:rsidR="00C0511C" w:rsidRPr="00C0511C" w:rsidRDefault="00C0511C">
      <w:pPr>
        <w:pStyle w:val="FootnoteText"/>
        <w:rPr>
          <w:rFonts w:ascii="Georgia" w:hAnsi="Georgia"/>
        </w:rPr>
      </w:pPr>
      <w:r w:rsidRPr="00C0511C">
        <w:rPr>
          <w:rStyle w:val="FootnoteReference"/>
          <w:rFonts w:ascii="Georgia" w:hAnsi="Georgia"/>
        </w:rPr>
        <w:footnoteRef/>
      </w:r>
      <w:r w:rsidRPr="00C0511C">
        <w:rPr>
          <w:rFonts w:ascii="Georgia" w:hAnsi="Georgia"/>
        </w:rPr>
        <w:t xml:space="preserve"> Please note that trust and distrust are treated as separate yet related concepts in this note.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370"/>
    <w:multiLevelType w:val="hybridMultilevel"/>
    <w:tmpl w:val="79A4F728"/>
    <w:lvl w:ilvl="0" w:tplc="0470925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F04B50"/>
    <w:multiLevelType w:val="hybridMultilevel"/>
    <w:tmpl w:val="07E2E42E"/>
    <w:lvl w:ilvl="0" w:tplc="3A66D77A">
      <w:start w:val="9"/>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0D7E84"/>
    <w:multiLevelType w:val="hybridMultilevel"/>
    <w:tmpl w:val="4E4C1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321349"/>
    <w:multiLevelType w:val="hybridMultilevel"/>
    <w:tmpl w:val="2B0CE794"/>
    <w:lvl w:ilvl="0" w:tplc="3A66D77A">
      <w:start w:val="9"/>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D02BE7"/>
    <w:multiLevelType w:val="hybridMultilevel"/>
    <w:tmpl w:val="C250176A"/>
    <w:lvl w:ilvl="0" w:tplc="271CCD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866259E"/>
    <w:multiLevelType w:val="hybridMultilevel"/>
    <w:tmpl w:val="0F6CFC10"/>
    <w:lvl w:ilvl="0" w:tplc="B94C1B3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EA01AD8"/>
    <w:multiLevelType w:val="hybridMultilevel"/>
    <w:tmpl w:val="FDF8D2AC"/>
    <w:lvl w:ilvl="0" w:tplc="3A66D77A">
      <w:start w:val="9"/>
      <w:numFmt w:val="bullet"/>
      <w:lvlText w:val="-"/>
      <w:lvlJc w:val="left"/>
      <w:pPr>
        <w:ind w:left="1080" w:hanging="360"/>
      </w:pPr>
      <w:rPr>
        <w:rFonts w:ascii="Georgia" w:eastAsiaTheme="minorHAnsi"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70814193">
    <w:abstractNumId w:val="6"/>
  </w:num>
  <w:num w:numId="2" w16cid:durableId="907836389">
    <w:abstractNumId w:val="5"/>
  </w:num>
  <w:num w:numId="3" w16cid:durableId="1884756789">
    <w:abstractNumId w:val="0"/>
  </w:num>
  <w:num w:numId="4" w16cid:durableId="1636183109">
    <w:abstractNumId w:val="4"/>
  </w:num>
  <w:num w:numId="5" w16cid:durableId="1258633467">
    <w:abstractNumId w:val="2"/>
  </w:num>
  <w:num w:numId="6" w16cid:durableId="35669018">
    <w:abstractNumId w:val="3"/>
  </w:num>
  <w:num w:numId="7" w16cid:durableId="1984920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D6"/>
    <w:rsid w:val="0007064B"/>
    <w:rsid w:val="000A6A1A"/>
    <w:rsid w:val="000E568A"/>
    <w:rsid w:val="00131862"/>
    <w:rsid w:val="001725E9"/>
    <w:rsid w:val="0017293B"/>
    <w:rsid w:val="002C63BC"/>
    <w:rsid w:val="002F24D6"/>
    <w:rsid w:val="003207F8"/>
    <w:rsid w:val="00345FF7"/>
    <w:rsid w:val="0035287E"/>
    <w:rsid w:val="003815C2"/>
    <w:rsid w:val="003B11F7"/>
    <w:rsid w:val="004248D7"/>
    <w:rsid w:val="004844E9"/>
    <w:rsid w:val="005631BA"/>
    <w:rsid w:val="006F18D4"/>
    <w:rsid w:val="006F70E3"/>
    <w:rsid w:val="008C445A"/>
    <w:rsid w:val="00915D40"/>
    <w:rsid w:val="00951729"/>
    <w:rsid w:val="00971B8B"/>
    <w:rsid w:val="00984B93"/>
    <w:rsid w:val="00A46B07"/>
    <w:rsid w:val="00AB0BAE"/>
    <w:rsid w:val="00B55173"/>
    <w:rsid w:val="00C0511C"/>
    <w:rsid w:val="00CA60F0"/>
    <w:rsid w:val="00D20663"/>
    <w:rsid w:val="00DB0B65"/>
    <w:rsid w:val="00DB6C0A"/>
    <w:rsid w:val="00EE63A5"/>
    <w:rsid w:val="00F94D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2E48"/>
  <w15:chartTrackingRefBased/>
  <w15:docId w15:val="{5010F240-A9E7-234C-82AD-C68235CB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4D6"/>
    <w:rPr>
      <w:rFonts w:ascii="Palatino Linotype" w:hAnsi="Palatino Linotyp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D7"/>
    <w:pPr>
      <w:ind w:left="720"/>
      <w:contextualSpacing/>
    </w:pPr>
  </w:style>
  <w:style w:type="paragraph" w:styleId="FootnoteText">
    <w:name w:val="footnote text"/>
    <w:basedOn w:val="Normal"/>
    <w:link w:val="FootnoteTextChar"/>
    <w:uiPriority w:val="99"/>
    <w:semiHidden/>
    <w:unhideWhenUsed/>
    <w:rsid w:val="00C0511C"/>
    <w:rPr>
      <w:sz w:val="20"/>
      <w:szCs w:val="20"/>
    </w:rPr>
  </w:style>
  <w:style w:type="character" w:customStyle="1" w:styleId="FootnoteTextChar">
    <w:name w:val="Footnote Text Char"/>
    <w:basedOn w:val="DefaultParagraphFont"/>
    <w:link w:val="FootnoteText"/>
    <w:uiPriority w:val="99"/>
    <w:semiHidden/>
    <w:rsid w:val="00C0511C"/>
    <w:rPr>
      <w:rFonts w:ascii="Palatino Linotype" w:hAnsi="Palatino Linotype"/>
      <w:sz w:val="20"/>
      <w:szCs w:val="20"/>
    </w:rPr>
  </w:style>
  <w:style w:type="character" w:styleId="FootnoteReference">
    <w:name w:val="footnote reference"/>
    <w:basedOn w:val="DefaultParagraphFont"/>
    <w:uiPriority w:val="99"/>
    <w:semiHidden/>
    <w:unhideWhenUsed/>
    <w:rsid w:val="00C05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23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1305-55C6-B942-8BB9-92F6A50A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Weinberg</cp:lastModifiedBy>
  <cp:revision>6</cp:revision>
  <dcterms:created xsi:type="dcterms:W3CDTF">2023-05-24T09:17:00Z</dcterms:created>
  <dcterms:modified xsi:type="dcterms:W3CDTF">2023-05-25T10:48:00Z</dcterms:modified>
</cp:coreProperties>
</file>