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56F3" w14:textId="77777777" w:rsidR="00EA6EAF" w:rsidRPr="0092002E" w:rsidRDefault="00EA6EAF" w:rsidP="00490A84">
      <w:pPr>
        <w:jc w:val="center"/>
        <w:rPr>
          <w:rFonts w:asciiTheme="minorHAnsi" w:hAnsiTheme="minorHAnsi" w:cstheme="minorHAnsi"/>
          <w:b/>
          <w:bCs/>
          <w:sz w:val="22"/>
          <w:szCs w:val="22"/>
          <w:u w:val="single"/>
          <w:lang w:val="en-GB"/>
        </w:rPr>
      </w:pPr>
      <w:r w:rsidRPr="0092002E">
        <w:rPr>
          <w:rFonts w:asciiTheme="minorHAnsi" w:hAnsiTheme="minorHAnsi" w:cstheme="minorHAnsi"/>
          <w:b/>
          <w:bCs/>
          <w:sz w:val="22"/>
          <w:szCs w:val="22"/>
          <w:u w:val="single"/>
          <w:lang w:val="en-GB"/>
        </w:rPr>
        <w:t xml:space="preserve">The Consequences of Political Trust </w:t>
      </w:r>
    </w:p>
    <w:p w14:paraId="34B58F63" w14:textId="4DEDD5EA" w:rsidR="007731EA" w:rsidRPr="0092002E" w:rsidRDefault="00EA6EAF" w:rsidP="00490A84">
      <w:pPr>
        <w:jc w:val="center"/>
        <w:rPr>
          <w:rFonts w:asciiTheme="minorHAnsi" w:hAnsiTheme="minorHAnsi" w:cstheme="minorHAnsi"/>
          <w:b/>
          <w:bCs/>
          <w:sz w:val="22"/>
          <w:szCs w:val="22"/>
          <w:u w:val="single"/>
          <w:lang w:val="en-GB"/>
        </w:rPr>
      </w:pPr>
      <w:r w:rsidRPr="0092002E">
        <w:rPr>
          <w:rFonts w:asciiTheme="minorHAnsi" w:hAnsiTheme="minorHAnsi" w:cstheme="minorHAnsi"/>
          <w:b/>
          <w:bCs/>
          <w:sz w:val="22"/>
          <w:szCs w:val="22"/>
          <w:u w:val="single"/>
          <w:lang w:val="en-GB"/>
        </w:rPr>
        <w:t xml:space="preserve">A </w:t>
      </w:r>
      <w:r w:rsidR="00E70696" w:rsidRPr="0092002E">
        <w:rPr>
          <w:rFonts w:asciiTheme="minorHAnsi" w:hAnsiTheme="minorHAnsi" w:cstheme="minorHAnsi"/>
          <w:b/>
          <w:bCs/>
          <w:sz w:val="22"/>
          <w:szCs w:val="22"/>
          <w:u w:val="single"/>
          <w:lang w:val="en-GB"/>
        </w:rPr>
        <w:t xml:space="preserve">Discussion </w:t>
      </w:r>
      <w:r w:rsidR="00A74A2E" w:rsidRPr="0092002E">
        <w:rPr>
          <w:rFonts w:asciiTheme="minorHAnsi" w:hAnsiTheme="minorHAnsi" w:cstheme="minorHAnsi"/>
          <w:b/>
          <w:bCs/>
          <w:sz w:val="22"/>
          <w:szCs w:val="22"/>
          <w:u w:val="single"/>
          <w:lang w:val="en-GB"/>
        </w:rPr>
        <w:t>N</w:t>
      </w:r>
      <w:r w:rsidR="00E70696" w:rsidRPr="0092002E">
        <w:rPr>
          <w:rFonts w:asciiTheme="minorHAnsi" w:hAnsiTheme="minorHAnsi" w:cstheme="minorHAnsi"/>
          <w:b/>
          <w:bCs/>
          <w:sz w:val="22"/>
          <w:szCs w:val="22"/>
          <w:u w:val="single"/>
          <w:lang w:val="en-GB"/>
        </w:rPr>
        <w:t>ote</w:t>
      </w:r>
    </w:p>
    <w:p w14:paraId="142848B4" w14:textId="77777777" w:rsidR="00490A84" w:rsidRPr="0092002E" w:rsidRDefault="00490A84" w:rsidP="00490A84">
      <w:pPr>
        <w:jc w:val="center"/>
        <w:rPr>
          <w:rFonts w:asciiTheme="minorHAnsi" w:hAnsiTheme="minorHAnsi" w:cstheme="minorHAnsi"/>
          <w:b/>
          <w:bCs/>
          <w:sz w:val="22"/>
          <w:szCs w:val="22"/>
          <w:u w:val="single"/>
          <w:lang w:val="en-GB"/>
        </w:rPr>
      </w:pPr>
    </w:p>
    <w:p w14:paraId="4ABF67A5" w14:textId="006AADA1" w:rsidR="00490A84" w:rsidRPr="0092002E" w:rsidRDefault="00490A84" w:rsidP="00490A84">
      <w:pPr>
        <w:jc w:val="center"/>
        <w:rPr>
          <w:rFonts w:asciiTheme="minorHAnsi" w:hAnsiTheme="minorHAnsi" w:cstheme="minorHAnsi"/>
          <w:b/>
          <w:bCs/>
          <w:sz w:val="22"/>
          <w:szCs w:val="22"/>
          <w:lang w:val="en-GB"/>
        </w:rPr>
      </w:pPr>
      <w:r w:rsidRPr="0092002E">
        <w:rPr>
          <w:rFonts w:asciiTheme="minorHAnsi" w:hAnsiTheme="minorHAnsi" w:cstheme="minorHAnsi"/>
          <w:b/>
          <w:bCs/>
          <w:sz w:val="22"/>
          <w:szCs w:val="22"/>
          <w:lang w:val="en-GB"/>
        </w:rPr>
        <w:t>Lisanne de Blok, Malcolm Fairbrother, and Daniel Devine</w:t>
      </w:r>
    </w:p>
    <w:p w14:paraId="39A88DCE" w14:textId="0EB6C598" w:rsidR="00A74A2E" w:rsidRDefault="00685697" w:rsidP="00490A84">
      <w:pPr>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2 June </w:t>
      </w:r>
      <w:r w:rsidR="00A74A2E" w:rsidRPr="0092002E">
        <w:rPr>
          <w:rFonts w:asciiTheme="minorHAnsi" w:hAnsiTheme="minorHAnsi" w:cstheme="minorHAnsi"/>
          <w:b/>
          <w:bCs/>
          <w:sz w:val="22"/>
          <w:szCs w:val="22"/>
          <w:lang w:val="en-GB"/>
        </w:rPr>
        <w:t>2023</w:t>
      </w:r>
    </w:p>
    <w:p w14:paraId="6C7F6DF3" w14:textId="7A6C0202" w:rsidR="009244F6" w:rsidRDefault="009244F6" w:rsidP="009244F6">
      <w:pPr>
        <w:rPr>
          <w:rFonts w:asciiTheme="minorHAnsi" w:hAnsiTheme="minorHAnsi" w:cstheme="minorHAnsi"/>
          <w:b/>
          <w:bCs/>
          <w:sz w:val="22"/>
          <w:szCs w:val="22"/>
          <w:lang w:val="en-GB"/>
        </w:rPr>
      </w:pPr>
    </w:p>
    <w:p w14:paraId="1C95FE8A" w14:textId="109B4A40" w:rsidR="009244F6" w:rsidRPr="00685697" w:rsidRDefault="009244F6" w:rsidP="00685697">
      <w:pPr>
        <w:rPr>
          <w:rFonts w:asciiTheme="minorHAnsi" w:hAnsiTheme="minorHAnsi" w:cstheme="minorHAnsi"/>
          <w:sz w:val="22"/>
          <w:szCs w:val="22"/>
          <w:lang w:val="en-GB"/>
        </w:rPr>
      </w:pPr>
      <w:r>
        <w:rPr>
          <w:rFonts w:asciiTheme="minorHAnsi" w:hAnsiTheme="minorHAnsi" w:cstheme="minorHAnsi"/>
          <w:sz w:val="22"/>
          <w:szCs w:val="22"/>
          <w:lang w:val="en-GB"/>
        </w:rPr>
        <w:t xml:space="preserve">In theory, </w:t>
      </w:r>
      <w:r w:rsidR="00A41C7D">
        <w:rPr>
          <w:rFonts w:asciiTheme="minorHAnsi" w:hAnsiTheme="minorHAnsi" w:cstheme="minorHAnsi"/>
          <w:sz w:val="22"/>
          <w:szCs w:val="22"/>
          <w:lang w:val="en-GB"/>
        </w:rPr>
        <w:t xml:space="preserve">the literature suggests that </w:t>
      </w:r>
      <w:r>
        <w:rPr>
          <w:rFonts w:asciiTheme="minorHAnsi" w:hAnsiTheme="minorHAnsi" w:cstheme="minorHAnsi"/>
          <w:sz w:val="22"/>
          <w:szCs w:val="22"/>
          <w:lang w:val="en-GB"/>
        </w:rPr>
        <w:t xml:space="preserve">political trust is vital for representative democracy, having important consequences for societal cooperation and democratic legitimacy (e.g. Putnam et al. 1993; Rothstein &amp; Uslaner 2015). Yet, empirical evidence on the </w:t>
      </w:r>
      <w:r w:rsidRPr="00685697">
        <w:rPr>
          <w:rFonts w:asciiTheme="minorHAnsi" w:hAnsiTheme="minorHAnsi" w:cstheme="minorHAnsi"/>
          <w:i/>
          <w:iCs/>
          <w:sz w:val="22"/>
          <w:szCs w:val="22"/>
          <w:lang w:val="en-GB"/>
        </w:rPr>
        <w:t>consequences</w:t>
      </w:r>
      <w:r>
        <w:rPr>
          <w:rFonts w:asciiTheme="minorHAnsi" w:hAnsiTheme="minorHAnsi" w:cstheme="minorHAnsi"/>
          <w:sz w:val="22"/>
          <w:szCs w:val="22"/>
          <w:lang w:val="en-GB"/>
        </w:rPr>
        <w:t xml:space="preserve"> of political trust is scarce, partial and fragmented (cf. Devine 2022). This stands in sharp contrast with the rich body of literature on the </w:t>
      </w:r>
      <w:r>
        <w:rPr>
          <w:rFonts w:asciiTheme="minorHAnsi" w:hAnsiTheme="minorHAnsi" w:cstheme="minorHAnsi"/>
          <w:i/>
          <w:iCs/>
          <w:sz w:val="22"/>
          <w:szCs w:val="22"/>
          <w:lang w:val="en-GB"/>
        </w:rPr>
        <w:t>causes</w:t>
      </w:r>
      <w:r>
        <w:rPr>
          <w:rFonts w:asciiTheme="minorHAnsi" w:hAnsiTheme="minorHAnsi" w:cstheme="minorHAnsi"/>
          <w:sz w:val="22"/>
          <w:szCs w:val="22"/>
          <w:lang w:val="en-GB"/>
        </w:rPr>
        <w:t xml:space="preserve"> of political trust (for an overview, cf. Van der Meer &amp; Zmerli 2017). In this note, we present five possible research avenues to study the consequences of political trust.</w:t>
      </w:r>
    </w:p>
    <w:p w14:paraId="405065D8" w14:textId="77777777" w:rsidR="00E70696" w:rsidRPr="0092002E" w:rsidRDefault="00E70696" w:rsidP="00E70696">
      <w:pPr>
        <w:rPr>
          <w:rFonts w:asciiTheme="minorHAnsi" w:hAnsiTheme="minorHAnsi" w:cstheme="minorHAnsi"/>
          <w:sz w:val="22"/>
          <w:szCs w:val="22"/>
          <w:lang w:val="en-GB"/>
        </w:rPr>
      </w:pPr>
    </w:p>
    <w:p w14:paraId="78415D90" w14:textId="540AA71D" w:rsidR="00E70696" w:rsidRPr="0092002E" w:rsidRDefault="00490A84" w:rsidP="00D57927">
      <w:pPr>
        <w:rPr>
          <w:rFonts w:asciiTheme="minorHAnsi" w:hAnsiTheme="minorHAnsi" w:cstheme="minorHAnsi"/>
          <w:i/>
          <w:iCs/>
          <w:sz w:val="22"/>
          <w:szCs w:val="22"/>
          <w:lang w:val="en-GB"/>
        </w:rPr>
      </w:pPr>
      <w:r w:rsidRPr="0092002E">
        <w:rPr>
          <w:rFonts w:asciiTheme="minorHAnsi" w:hAnsiTheme="minorHAnsi" w:cstheme="minorHAnsi"/>
          <w:i/>
          <w:iCs/>
          <w:sz w:val="22"/>
          <w:szCs w:val="22"/>
          <w:lang w:val="en-GB"/>
        </w:rPr>
        <w:t>P</w:t>
      </w:r>
      <w:r w:rsidR="00E70696" w:rsidRPr="0092002E">
        <w:rPr>
          <w:rFonts w:asciiTheme="minorHAnsi" w:hAnsiTheme="minorHAnsi" w:cstheme="minorHAnsi"/>
          <w:i/>
          <w:iCs/>
          <w:sz w:val="22"/>
          <w:szCs w:val="22"/>
          <w:lang w:val="en-GB"/>
        </w:rPr>
        <w:t>olitical trust and distrust are quite different and have different consequences</w:t>
      </w:r>
    </w:p>
    <w:p w14:paraId="5248B98B" w14:textId="77777777" w:rsidR="00490A84" w:rsidRPr="0092002E" w:rsidRDefault="00490A84" w:rsidP="00D57927">
      <w:pPr>
        <w:rPr>
          <w:rFonts w:asciiTheme="minorHAnsi" w:hAnsiTheme="minorHAnsi" w:cstheme="minorHAnsi"/>
          <w:i/>
          <w:iCs/>
          <w:sz w:val="22"/>
          <w:szCs w:val="22"/>
          <w:lang w:val="en-GB"/>
        </w:rPr>
      </w:pPr>
    </w:p>
    <w:p w14:paraId="539C477D" w14:textId="5987E97D" w:rsidR="00490A84" w:rsidRPr="0092002E" w:rsidRDefault="006D77D4" w:rsidP="00D57927">
      <w:pPr>
        <w:rPr>
          <w:rFonts w:asciiTheme="minorHAnsi" w:hAnsiTheme="minorHAnsi" w:cstheme="minorHAnsi"/>
          <w:sz w:val="22"/>
          <w:szCs w:val="22"/>
          <w:lang w:val="en-GB"/>
        </w:rPr>
      </w:pPr>
      <w:r w:rsidRPr="0092002E">
        <w:rPr>
          <w:rFonts w:asciiTheme="minorHAnsi" w:hAnsiTheme="minorHAnsi" w:cstheme="minorHAnsi"/>
          <w:sz w:val="22"/>
          <w:szCs w:val="22"/>
          <w:lang w:val="en-GB"/>
        </w:rPr>
        <w:t>E</w:t>
      </w:r>
      <w:r w:rsidR="00490A84" w:rsidRPr="0092002E">
        <w:rPr>
          <w:rFonts w:asciiTheme="minorHAnsi" w:hAnsiTheme="minorHAnsi" w:cstheme="minorHAnsi"/>
          <w:sz w:val="22"/>
          <w:szCs w:val="22"/>
          <w:lang w:val="en-GB"/>
        </w:rPr>
        <w:t xml:space="preserve">mpirical research </w:t>
      </w:r>
      <w:r w:rsidRPr="0092002E">
        <w:rPr>
          <w:rFonts w:asciiTheme="minorHAnsi" w:hAnsiTheme="minorHAnsi" w:cstheme="minorHAnsi"/>
          <w:sz w:val="22"/>
          <w:szCs w:val="22"/>
          <w:lang w:val="en-GB"/>
        </w:rPr>
        <w:t xml:space="preserve">on political trust relies heavily on </w:t>
      </w:r>
      <w:r w:rsidR="00490A84" w:rsidRPr="0092002E">
        <w:rPr>
          <w:rFonts w:asciiTheme="minorHAnsi" w:hAnsiTheme="minorHAnsi" w:cstheme="minorHAnsi"/>
          <w:sz w:val="22"/>
          <w:szCs w:val="22"/>
          <w:lang w:val="en-GB"/>
        </w:rPr>
        <w:t xml:space="preserve">survey items </w:t>
      </w:r>
      <w:r w:rsidRPr="0092002E">
        <w:rPr>
          <w:rFonts w:asciiTheme="minorHAnsi" w:hAnsiTheme="minorHAnsi" w:cstheme="minorHAnsi"/>
          <w:sz w:val="22"/>
          <w:szCs w:val="22"/>
          <w:lang w:val="en-GB"/>
        </w:rPr>
        <w:t>like</w:t>
      </w:r>
      <w:r w:rsidR="00490A84" w:rsidRPr="0092002E">
        <w:rPr>
          <w:rFonts w:asciiTheme="minorHAnsi" w:hAnsiTheme="minorHAnsi" w:cstheme="minorHAnsi"/>
          <w:sz w:val="22"/>
          <w:szCs w:val="22"/>
          <w:lang w:val="en-GB"/>
        </w:rPr>
        <w:t xml:space="preserve">: ‘How much trust do you have in Members of Parliament in general?’ (British Election Study); ‘Can you indicate, on a scale from 0 to 10, how much confidence you personally have in each of the following institutions?’ (LISS, Netherlands). Sometimes these items are </w:t>
      </w:r>
      <w:r w:rsidRPr="0092002E">
        <w:rPr>
          <w:rFonts w:asciiTheme="minorHAnsi" w:hAnsiTheme="minorHAnsi" w:cstheme="minorHAnsi"/>
          <w:sz w:val="22"/>
          <w:szCs w:val="22"/>
          <w:lang w:val="en-GB"/>
        </w:rPr>
        <w:t>presented and analysed</w:t>
      </w:r>
      <w:r w:rsidR="00490A84" w:rsidRPr="0092002E">
        <w:rPr>
          <w:rFonts w:asciiTheme="minorHAnsi" w:hAnsiTheme="minorHAnsi" w:cstheme="minorHAnsi"/>
          <w:sz w:val="22"/>
          <w:szCs w:val="22"/>
          <w:lang w:val="en-GB"/>
        </w:rPr>
        <w:t xml:space="preserve"> </w:t>
      </w:r>
      <w:r w:rsidRPr="0092002E">
        <w:rPr>
          <w:rFonts w:asciiTheme="minorHAnsi" w:hAnsiTheme="minorHAnsi" w:cstheme="minorHAnsi"/>
          <w:sz w:val="22"/>
          <w:szCs w:val="22"/>
          <w:lang w:val="en-GB"/>
        </w:rPr>
        <w:t>as though they are measures of distrust as</w:t>
      </w:r>
      <w:r w:rsidR="007C6A35">
        <w:rPr>
          <w:rFonts w:asciiTheme="minorHAnsi" w:hAnsiTheme="minorHAnsi" w:cstheme="minorHAnsi"/>
          <w:sz w:val="22"/>
          <w:szCs w:val="22"/>
          <w:lang w:val="en-GB"/>
        </w:rPr>
        <w:t xml:space="preserve"> much as</w:t>
      </w:r>
      <w:r w:rsidRPr="0092002E">
        <w:rPr>
          <w:rFonts w:asciiTheme="minorHAnsi" w:hAnsiTheme="minorHAnsi" w:cstheme="minorHAnsi"/>
          <w:sz w:val="22"/>
          <w:szCs w:val="22"/>
          <w:lang w:val="en-GB"/>
        </w:rPr>
        <w:t xml:space="preserve"> </w:t>
      </w:r>
      <w:r w:rsidR="00490A84" w:rsidRPr="0092002E">
        <w:rPr>
          <w:rFonts w:asciiTheme="minorHAnsi" w:hAnsiTheme="minorHAnsi" w:cstheme="minorHAnsi"/>
          <w:sz w:val="22"/>
          <w:szCs w:val="22"/>
          <w:lang w:val="en-GB"/>
        </w:rPr>
        <w:t>trust</w:t>
      </w:r>
      <w:r w:rsidRPr="0092002E">
        <w:rPr>
          <w:rFonts w:asciiTheme="minorHAnsi" w:hAnsiTheme="minorHAnsi" w:cstheme="minorHAnsi"/>
          <w:sz w:val="22"/>
          <w:szCs w:val="22"/>
          <w:lang w:val="en-GB"/>
        </w:rPr>
        <w:t xml:space="preserve">, with the one being just the absence, or opposite, of the other. But such suggestions ignore recent research, which has shown that </w:t>
      </w:r>
      <w:r w:rsidR="00490A84" w:rsidRPr="0092002E">
        <w:rPr>
          <w:rFonts w:asciiTheme="minorHAnsi" w:hAnsiTheme="minorHAnsi" w:cstheme="minorHAnsi"/>
          <w:sz w:val="22"/>
          <w:szCs w:val="22"/>
          <w:lang w:val="en-GB"/>
        </w:rPr>
        <w:t xml:space="preserve">distrust is </w:t>
      </w:r>
      <w:r w:rsidRPr="0092002E">
        <w:rPr>
          <w:rFonts w:asciiTheme="minorHAnsi" w:hAnsiTheme="minorHAnsi" w:cstheme="minorHAnsi"/>
          <w:sz w:val="22"/>
          <w:szCs w:val="22"/>
          <w:lang w:val="en-GB"/>
        </w:rPr>
        <w:t xml:space="preserve">not just the opposite </w:t>
      </w:r>
      <w:r w:rsidR="00282C40">
        <w:rPr>
          <w:rFonts w:asciiTheme="minorHAnsi" w:hAnsiTheme="minorHAnsi" w:cstheme="minorHAnsi"/>
          <w:sz w:val="22"/>
          <w:szCs w:val="22"/>
          <w:lang w:val="en-GB"/>
        </w:rPr>
        <w:t xml:space="preserve">of </w:t>
      </w:r>
      <w:r w:rsidRPr="0092002E">
        <w:rPr>
          <w:rFonts w:asciiTheme="minorHAnsi" w:hAnsiTheme="minorHAnsi" w:cstheme="minorHAnsi"/>
          <w:sz w:val="22"/>
          <w:szCs w:val="22"/>
          <w:lang w:val="en-GB"/>
        </w:rPr>
        <w:t xml:space="preserve">trust, and should not be </w:t>
      </w:r>
      <w:r w:rsidR="00282C40">
        <w:rPr>
          <w:rFonts w:asciiTheme="minorHAnsi" w:hAnsiTheme="minorHAnsi" w:cstheme="minorHAnsi"/>
          <w:sz w:val="22"/>
          <w:szCs w:val="22"/>
          <w:lang w:val="en-GB"/>
        </w:rPr>
        <w:t xml:space="preserve">conceptualised </w:t>
      </w:r>
      <w:r w:rsidRPr="0092002E">
        <w:rPr>
          <w:rFonts w:asciiTheme="minorHAnsi" w:hAnsiTheme="minorHAnsi" w:cstheme="minorHAnsi"/>
          <w:sz w:val="22"/>
          <w:szCs w:val="22"/>
          <w:lang w:val="en-GB"/>
        </w:rPr>
        <w:t xml:space="preserve">as such </w:t>
      </w:r>
      <w:r w:rsidR="00490A84" w:rsidRPr="0092002E">
        <w:rPr>
          <w:rFonts w:asciiTheme="minorHAnsi" w:hAnsiTheme="minorHAnsi" w:cstheme="minorHAnsi"/>
          <w:sz w:val="22"/>
          <w:szCs w:val="22"/>
          <w:lang w:val="en-GB"/>
        </w:rPr>
        <w:t xml:space="preserve">(Bertsou, </w:t>
      </w:r>
      <w:hyperlink r:id="rId8" w:history="1">
        <w:r w:rsidR="00490A84" w:rsidRPr="0092002E">
          <w:rPr>
            <w:rStyle w:val="Hyperlink"/>
            <w:rFonts w:asciiTheme="minorHAnsi" w:hAnsiTheme="minorHAnsi" w:cstheme="minorHAnsi"/>
            <w:sz w:val="22"/>
            <w:szCs w:val="22"/>
            <w:lang w:val="en-GB"/>
          </w:rPr>
          <w:t>2019</w:t>
        </w:r>
      </w:hyperlink>
      <w:r w:rsidR="00490A84" w:rsidRPr="0092002E">
        <w:rPr>
          <w:rFonts w:asciiTheme="minorHAnsi" w:hAnsiTheme="minorHAnsi" w:cstheme="minorHAnsi"/>
          <w:sz w:val="22"/>
          <w:szCs w:val="22"/>
          <w:lang w:val="en-GB"/>
        </w:rPr>
        <w:t xml:space="preserve">; Devine et al, </w:t>
      </w:r>
      <w:hyperlink r:id="rId9" w:history="1">
        <w:r w:rsidR="00490A84" w:rsidRPr="0092002E">
          <w:rPr>
            <w:rStyle w:val="Hyperlink"/>
            <w:rFonts w:asciiTheme="minorHAnsi" w:hAnsiTheme="minorHAnsi" w:cstheme="minorHAnsi"/>
            <w:sz w:val="22"/>
            <w:szCs w:val="22"/>
            <w:lang w:val="en-GB"/>
          </w:rPr>
          <w:t>2020</w:t>
        </w:r>
      </w:hyperlink>
      <w:r w:rsidR="00490A84" w:rsidRPr="0092002E">
        <w:rPr>
          <w:rFonts w:asciiTheme="minorHAnsi" w:hAnsiTheme="minorHAnsi" w:cstheme="minorHAnsi"/>
          <w:sz w:val="22"/>
          <w:szCs w:val="22"/>
          <w:lang w:val="en-GB"/>
        </w:rPr>
        <w:t>)</w:t>
      </w:r>
      <w:r w:rsidRPr="0092002E">
        <w:rPr>
          <w:rFonts w:asciiTheme="minorHAnsi" w:hAnsiTheme="minorHAnsi" w:cstheme="minorHAnsi"/>
          <w:sz w:val="22"/>
          <w:szCs w:val="22"/>
          <w:lang w:val="en-GB"/>
        </w:rPr>
        <w:t xml:space="preserve">. Distrust, rather, reflects </w:t>
      </w:r>
      <w:r w:rsidR="00490A84" w:rsidRPr="0092002E">
        <w:rPr>
          <w:rFonts w:asciiTheme="minorHAnsi" w:hAnsiTheme="minorHAnsi" w:cstheme="minorHAnsi"/>
          <w:sz w:val="22"/>
          <w:szCs w:val="22"/>
          <w:lang w:val="en-GB"/>
        </w:rPr>
        <w:t xml:space="preserve">a settled negative belief in the </w:t>
      </w:r>
      <w:r w:rsidR="00490A84" w:rsidRPr="00685697">
        <w:rPr>
          <w:rFonts w:asciiTheme="minorHAnsi" w:hAnsiTheme="minorHAnsi" w:cstheme="minorHAnsi"/>
          <w:i/>
          <w:iCs/>
          <w:sz w:val="22"/>
          <w:szCs w:val="22"/>
          <w:lang w:val="en-GB"/>
        </w:rPr>
        <w:t>untrustworthiness</w:t>
      </w:r>
      <w:r w:rsidR="00490A84" w:rsidRPr="0092002E">
        <w:rPr>
          <w:rFonts w:asciiTheme="minorHAnsi" w:hAnsiTheme="minorHAnsi" w:cstheme="minorHAnsi"/>
          <w:sz w:val="22"/>
          <w:szCs w:val="22"/>
          <w:lang w:val="en-GB"/>
        </w:rPr>
        <w:t xml:space="preserve"> of political actors, the expectation of negative outcomes (Bertsou, 2019)</w:t>
      </w:r>
      <w:r w:rsidR="007C6A35">
        <w:rPr>
          <w:rFonts w:asciiTheme="minorHAnsi" w:hAnsiTheme="minorHAnsi" w:cstheme="minorHAnsi"/>
          <w:sz w:val="22"/>
          <w:szCs w:val="22"/>
          <w:lang w:val="en-GB"/>
        </w:rPr>
        <w:t>, whereas trust is the generally positive belief in the trustworthiness and the expectation of positive consequences</w:t>
      </w:r>
      <w:r w:rsidR="00490A84" w:rsidRPr="0092002E">
        <w:rPr>
          <w:rFonts w:asciiTheme="minorHAnsi" w:hAnsiTheme="minorHAnsi" w:cstheme="minorHAnsi"/>
          <w:sz w:val="22"/>
          <w:szCs w:val="22"/>
          <w:lang w:val="en-GB"/>
        </w:rPr>
        <w:t xml:space="preserve">. Trust and distrust may </w:t>
      </w:r>
      <w:r w:rsidR="002A0E3A" w:rsidRPr="0092002E">
        <w:rPr>
          <w:rFonts w:asciiTheme="minorHAnsi" w:hAnsiTheme="minorHAnsi" w:cstheme="minorHAnsi"/>
          <w:sz w:val="22"/>
          <w:szCs w:val="22"/>
          <w:lang w:val="en-GB"/>
        </w:rPr>
        <w:t xml:space="preserve">have </w:t>
      </w:r>
      <w:r w:rsidR="00490A84" w:rsidRPr="0092002E">
        <w:rPr>
          <w:rFonts w:asciiTheme="minorHAnsi" w:hAnsiTheme="minorHAnsi" w:cstheme="minorHAnsi"/>
          <w:sz w:val="22"/>
          <w:szCs w:val="22"/>
          <w:lang w:val="en-GB"/>
        </w:rPr>
        <w:t>different consequences, and one may be more important for some outcomes than the other</w:t>
      </w:r>
      <w:r w:rsidR="007C6A35">
        <w:rPr>
          <w:rFonts w:asciiTheme="minorHAnsi" w:hAnsiTheme="minorHAnsi" w:cstheme="minorHAnsi"/>
          <w:sz w:val="22"/>
          <w:szCs w:val="22"/>
          <w:lang w:val="en-GB"/>
        </w:rPr>
        <w:t>. For instance, a lack of trust may not drive citizens to the polls to vote for anti-system parties, but distrust (given that it is expected the current actors will produce some harm) may do</w:t>
      </w:r>
      <w:r w:rsidR="00490A84" w:rsidRPr="0092002E">
        <w:rPr>
          <w:rFonts w:asciiTheme="minorHAnsi" w:hAnsiTheme="minorHAnsi" w:cstheme="minorHAnsi"/>
          <w:sz w:val="22"/>
          <w:szCs w:val="22"/>
          <w:lang w:val="en-GB"/>
        </w:rPr>
        <w:t xml:space="preserve">. Whilst we have an enormous range of data on trends and levels of trust, we have almost nothing on the same for distrust. </w:t>
      </w:r>
    </w:p>
    <w:p w14:paraId="24DF0396" w14:textId="1AF1425A" w:rsidR="00490A84" w:rsidRPr="0092002E" w:rsidRDefault="009828F0" w:rsidP="00DD7445">
      <w:pPr>
        <w:ind w:firstLine="708"/>
        <w:rPr>
          <w:rFonts w:asciiTheme="minorHAnsi" w:hAnsiTheme="minorHAnsi" w:cstheme="minorHAnsi"/>
          <w:sz w:val="22"/>
          <w:szCs w:val="22"/>
          <w:lang w:val="en-GB"/>
        </w:rPr>
      </w:pPr>
      <w:r w:rsidRPr="0092002E">
        <w:rPr>
          <w:rFonts w:asciiTheme="minorHAnsi" w:hAnsiTheme="minorHAnsi" w:cstheme="minorHAnsi"/>
          <w:sz w:val="22"/>
          <w:szCs w:val="22"/>
          <w:lang w:val="en-GB"/>
        </w:rPr>
        <w:t xml:space="preserve">It would therefore be useful for </w:t>
      </w:r>
      <w:r w:rsidR="009371CE">
        <w:rPr>
          <w:rFonts w:asciiTheme="minorHAnsi" w:hAnsiTheme="minorHAnsi" w:cstheme="minorHAnsi"/>
          <w:sz w:val="22"/>
          <w:szCs w:val="22"/>
          <w:lang w:val="en-GB"/>
        </w:rPr>
        <w:t xml:space="preserve">a </w:t>
      </w:r>
      <w:r w:rsidRPr="0092002E">
        <w:rPr>
          <w:rFonts w:asciiTheme="minorHAnsi" w:hAnsiTheme="minorHAnsi" w:cstheme="minorHAnsi"/>
          <w:sz w:val="22"/>
          <w:szCs w:val="22"/>
          <w:lang w:val="en-GB"/>
        </w:rPr>
        <w:t xml:space="preserve">future research </w:t>
      </w:r>
      <w:r w:rsidR="009371CE">
        <w:rPr>
          <w:rFonts w:asciiTheme="minorHAnsi" w:hAnsiTheme="minorHAnsi" w:cstheme="minorHAnsi"/>
          <w:sz w:val="22"/>
          <w:szCs w:val="22"/>
          <w:lang w:val="en-GB"/>
        </w:rPr>
        <w:t xml:space="preserve">project </w:t>
      </w:r>
      <w:r w:rsidRPr="0092002E">
        <w:rPr>
          <w:rFonts w:asciiTheme="minorHAnsi" w:hAnsiTheme="minorHAnsi" w:cstheme="minorHAnsi"/>
          <w:sz w:val="22"/>
          <w:szCs w:val="22"/>
          <w:lang w:val="en-GB"/>
        </w:rPr>
        <w:t>to</w:t>
      </w:r>
      <w:r w:rsidR="00490A84" w:rsidRPr="0092002E">
        <w:rPr>
          <w:rFonts w:asciiTheme="minorHAnsi" w:hAnsiTheme="minorHAnsi" w:cstheme="minorHAnsi"/>
          <w:sz w:val="22"/>
          <w:szCs w:val="22"/>
          <w:lang w:val="en-GB"/>
        </w:rPr>
        <w:t>: a) conceptualise and measure distrust cross-nationally (building on work by the authors cited above</w:t>
      </w:r>
      <w:r w:rsidR="007C6A35">
        <w:rPr>
          <w:rFonts w:asciiTheme="minorHAnsi" w:hAnsiTheme="minorHAnsi" w:cstheme="minorHAnsi"/>
          <w:sz w:val="22"/>
          <w:szCs w:val="22"/>
          <w:lang w:val="en-GB"/>
        </w:rPr>
        <w:t>, particularly Bertsou</w:t>
      </w:r>
      <w:r w:rsidR="00490A84" w:rsidRPr="0092002E">
        <w:rPr>
          <w:rFonts w:asciiTheme="minorHAnsi" w:hAnsiTheme="minorHAnsi" w:cstheme="minorHAnsi"/>
          <w:sz w:val="22"/>
          <w:szCs w:val="22"/>
          <w:lang w:val="en-GB"/>
        </w:rPr>
        <w:t>)</w:t>
      </w:r>
      <w:r w:rsidR="009371CE">
        <w:rPr>
          <w:rFonts w:asciiTheme="minorHAnsi" w:hAnsiTheme="minorHAnsi" w:cstheme="minorHAnsi"/>
          <w:sz w:val="22"/>
          <w:szCs w:val="22"/>
          <w:lang w:val="en-GB"/>
        </w:rPr>
        <w:t>;</w:t>
      </w:r>
      <w:r w:rsidR="00490A84" w:rsidRPr="0092002E">
        <w:rPr>
          <w:rFonts w:asciiTheme="minorHAnsi" w:hAnsiTheme="minorHAnsi" w:cstheme="minorHAnsi"/>
          <w:sz w:val="22"/>
          <w:szCs w:val="22"/>
          <w:lang w:val="en-GB"/>
        </w:rPr>
        <w:t xml:space="preserve"> b) determine whether the consequences </w:t>
      </w:r>
      <w:r w:rsidR="009371CE">
        <w:rPr>
          <w:rFonts w:asciiTheme="minorHAnsi" w:hAnsiTheme="minorHAnsi" w:cstheme="minorHAnsi"/>
          <w:sz w:val="22"/>
          <w:szCs w:val="22"/>
          <w:lang w:val="en-GB"/>
        </w:rPr>
        <w:t xml:space="preserve">of trust and distrust </w:t>
      </w:r>
      <w:r w:rsidR="00490A84" w:rsidRPr="0092002E">
        <w:rPr>
          <w:rFonts w:asciiTheme="minorHAnsi" w:hAnsiTheme="minorHAnsi" w:cstheme="minorHAnsi"/>
          <w:sz w:val="22"/>
          <w:szCs w:val="22"/>
          <w:lang w:val="en-GB"/>
        </w:rPr>
        <w:t>differ</w:t>
      </w:r>
      <w:r w:rsidR="009371CE">
        <w:rPr>
          <w:rFonts w:asciiTheme="minorHAnsi" w:hAnsiTheme="minorHAnsi" w:cstheme="minorHAnsi"/>
          <w:sz w:val="22"/>
          <w:szCs w:val="22"/>
          <w:lang w:val="en-GB"/>
        </w:rPr>
        <w:t>;</w:t>
      </w:r>
      <w:r w:rsidR="00490A84" w:rsidRPr="0092002E">
        <w:rPr>
          <w:rFonts w:asciiTheme="minorHAnsi" w:hAnsiTheme="minorHAnsi" w:cstheme="minorHAnsi"/>
          <w:sz w:val="22"/>
          <w:szCs w:val="22"/>
          <w:lang w:val="en-GB"/>
        </w:rPr>
        <w:t xml:space="preserve"> and c) take step towards establishing </w:t>
      </w:r>
      <w:r w:rsidRPr="0092002E">
        <w:rPr>
          <w:rFonts w:asciiTheme="minorHAnsi" w:hAnsiTheme="minorHAnsi" w:cstheme="minorHAnsi"/>
          <w:sz w:val="22"/>
          <w:szCs w:val="22"/>
          <w:lang w:val="en-GB"/>
        </w:rPr>
        <w:t xml:space="preserve">longitudinal </w:t>
      </w:r>
      <w:r w:rsidR="00490A84" w:rsidRPr="0092002E">
        <w:rPr>
          <w:rFonts w:asciiTheme="minorHAnsi" w:hAnsiTheme="minorHAnsi" w:cstheme="minorHAnsi"/>
          <w:sz w:val="22"/>
          <w:szCs w:val="22"/>
          <w:lang w:val="en-GB"/>
        </w:rPr>
        <w:t>trends in distrust in common repeated surveys (e</w:t>
      </w:r>
      <w:r w:rsidR="009371CE">
        <w:rPr>
          <w:rFonts w:asciiTheme="minorHAnsi" w:hAnsiTheme="minorHAnsi" w:cstheme="minorHAnsi"/>
          <w:sz w:val="22"/>
          <w:szCs w:val="22"/>
          <w:lang w:val="en-GB"/>
        </w:rPr>
        <w:t>.</w:t>
      </w:r>
      <w:r w:rsidR="00490A84" w:rsidRPr="0092002E">
        <w:rPr>
          <w:rFonts w:asciiTheme="minorHAnsi" w:hAnsiTheme="minorHAnsi" w:cstheme="minorHAnsi"/>
          <w:sz w:val="22"/>
          <w:szCs w:val="22"/>
          <w:lang w:val="en-GB"/>
        </w:rPr>
        <w:t>g</w:t>
      </w:r>
      <w:r w:rsidR="009371CE">
        <w:rPr>
          <w:rFonts w:asciiTheme="minorHAnsi" w:hAnsiTheme="minorHAnsi" w:cstheme="minorHAnsi"/>
          <w:sz w:val="22"/>
          <w:szCs w:val="22"/>
          <w:lang w:val="en-GB"/>
        </w:rPr>
        <w:t>.,</w:t>
      </w:r>
      <w:r w:rsidR="00490A84" w:rsidRPr="0092002E">
        <w:rPr>
          <w:rFonts w:asciiTheme="minorHAnsi" w:hAnsiTheme="minorHAnsi" w:cstheme="minorHAnsi"/>
          <w:sz w:val="22"/>
          <w:szCs w:val="22"/>
          <w:lang w:val="en-GB"/>
        </w:rPr>
        <w:t xml:space="preserve"> election studies or the Eurobarometer).</w:t>
      </w:r>
    </w:p>
    <w:p w14:paraId="5EF2AE65" w14:textId="77777777" w:rsidR="00C677FB" w:rsidRPr="0092002E" w:rsidRDefault="00C677FB" w:rsidP="00D57927">
      <w:pPr>
        <w:rPr>
          <w:rFonts w:asciiTheme="minorHAnsi" w:hAnsiTheme="minorHAnsi" w:cstheme="minorHAnsi"/>
          <w:sz w:val="22"/>
          <w:szCs w:val="22"/>
          <w:lang w:val="en-GB"/>
        </w:rPr>
      </w:pPr>
    </w:p>
    <w:p w14:paraId="48A1451B" w14:textId="0DDA1E0F" w:rsidR="00E70696" w:rsidRPr="0092002E" w:rsidRDefault="00490A84" w:rsidP="00D57927">
      <w:pPr>
        <w:rPr>
          <w:rFonts w:asciiTheme="minorHAnsi" w:hAnsiTheme="minorHAnsi" w:cstheme="minorHAnsi"/>
          <w:i/>
          <w:iCs/>
          <w:sz w:val="22"/>
          <w:szCs w:val="22"/>
          <w:lang w:val="en-GB"/>
        </w:rPr>
      </w:pPr>
      <w:r w:rsidRPr="0092002E">
        <w:rPr>
          <w:rFonts w:asciiTheme="minorHAnsi" w:hAnsiTheme="minorHAnsi" w:cstheme="minorHAnsi"/>
          <w:i/>
          <w:iCs/>
          <w:sz w:val="22"/>
          <w:szCs w:val="22"/>
          <w:lang w:val="en-GB"/>
        </w:rPr>
        <w:t>H</w:t>
      </w:r>
      <w:r w:rsidR="00E70696" w:rsidRPr="0092002E">
        <w:rPr>
          <w:rFonts w:asciiTheme="minorHAnsi" w:hAnsiTheme="minorHAnsi" w:cstheme="minorHAnsi"/>
          <w:i/>
          <w:iCs/>
          <w:sz w:val="22"/>
          <w:szCs w:val="22"/>
          <w:lang w:val="en-GB"/>
        </w:rPr>
        <w:t>ow to research political trust/methods</w:t>
      </w:r>
      <w:r w:rsidR="005F5F8E">
        <w:rPr>
          <w:rFonts w:asciiTheme="minorHAnsi" w:hAnsiTheme="minorHAnsi" w:cstheme="minorHAnsi"/>
          <w:i/>
          <w:iCs/>
          <w:sz w:val="22"/>
          <w:szCs w:val="22"/>
          <w:lang w:val="en-GB"/>
        </w:rPr>
        <w:t>: more needs for causal identification, details about time</w:t>
      </w:r>
    </w:p>
    <w:p w14:paraId="6DE4F7D8" w14:textId="52452412" w:rsidR="00E70696" w:rsidRPr="0092002E" w:rsidRDefault="00E70696" w:rsidP="00D57927">
      <w:pPr>
        <w:rPr>
          <w:rFonts w:asciiTheme="minorHAnsi" w:hAnsiTheme="minorHAnsi" w:cstheme="minorHAnsi"/>
          <w:i/>
          <w:iCs/>
          <w:sz w:val="22"/>
          <w:szCs w:val="22"/>
          <w:lang w:val="en-GB"/>
        </w:rPr>
      </w:pPr>
    </w:p>
    <w:p w14:paraId="03F7C5C5" w14:textId="781CBABB" w:rsidR="00490A84" w:rsidRPr="0092002E" w:rsidRDefault="009828F0" w:rsidP="00D57927">
      <w:pPr>
        <w:rPr>
          <w:rFonts w:asciiTheme="minorHAnsi" w:hAnsiTheme="minorHAnsi" w:cstheme="minorHAnsi"/>
          <w:sz w:val="22"/>
          <w:szCs w:val="22"/>
          <w:lang w:val="en-GB"/>
        </w:rPr>
      </w:pPr>
      <w:r w:rsidRPr="0092002E">
        <w:rPr>
          <w:rFonts w:asciiTheme="minorHAnsi" w:hAnsiTheme="minorHAnsi" w:cstheme="minorHAnsi"/>
          <w:sz w:val="22"/>
          <w:szCs w:val="22"/>
          <w:lang w:val="en-GB"/>
        </w:rPr>
        <w:t>Though there are notable exceptions that use survey experiment</w:t>
      </w:r>
      <w:r w:rsidR="006E2390">
        <w:rPr>
          <w:rFonts w:asciiTheme="minorHAnsi" w:hAnsiTheme="minorHAnsi" w:cstheme="minorHAnsi"/>
          <w:sz w:val="22"/>
          <w:szCs w:val="22"/>
          <w:lang w:val="en-GB"/>
        </w:rPr>
        <w:t>s</w:t>
      </w:r>
      <w:r w:rsidRPr="0092002E">
        <w:rPr>
          <w:rFonts w:asciiTheme="minorHAnsi" w:hAnsiTheme="minorHAnsi" w:cstheme="minorHAnsi"/>
          <w:sz w:val="22"/>
          <w:szCs w:val="22"/>
          <w:lang w:val="en-GB"/>
        </w:rPr>
        <w:t xml:space="preserve"> (e.g., Fairbrother, </w:t>
      </w:r>
      <w:hyperlink r:id="rId10" w:history="1">
        <w:r w:rsidRPr="0092002E">
          <w:rPr>
            <w:rStyle w:val="Hyperlink"/>
            <w:rFonts w:asciiTheme="minorHAnsi" w:hAnsiTheme="minorHAnsi" w:cstheme="minorHAnsi"/>
            <w:sz w:val="22"/>
            <w:szCs w:val="22"/>
            <w:lang w:val="en-GB"/>
          </w:rPr>
          <w:t>2019</w:t>
        </w:r>
      </w:hyperlink>
      <w:r w:rsidRPr="0092002E">
        <w:rPr>
          <w:rFonts w:asciiTheme="minorHAnsi" w:hAnsiTheme="minorHAnsi" w:cstheme="minorHAnsi"/>
          <w:sz w:val="22"/>
          <w:szCs w:val="22"/>
          <w:lang w:val="en-GB"/>
        </w:rPr>
        <w:t xml:space="preserve">; Peyton, </w:t>
      </w:r>
      <w:hyperlink r:id="rId11" w:history="1">
        <w:r w:rsidRPr="0092002E">
          <w:rPr>
            <w:rStyle w:val="Hyperlink"/>
            <w:rFonts w:asciiTheme="minorHAnsi" w:hAnsiTheme="minorHAnsi" w:cstheme="minorHAnsi"/>
            <w:sz w:val="22"/>
            <w:szCs w:val="22"/>
            <w:lang w:val="en-GB"/>
          </w:rPr>
          <w:t>2020</w:t>
        </w:r>
      </w:hyperlink>
      <w:r w:rsidRPr="0092002E">
        <w:rPr>
          <w:rFonts w:asciiTheme="minorHAnsi" w:hAnsiTheme="minorHAnsi" w:cstheme="minorHAnsi"/>
          <w:sz w:val="22"/>
          <w:szCs w:val="22"/>
          <w:lang w:val="en-GB"/>
        </w:rPr>
        <w:t xml:space="preserve">; Macdonald, </w:t>
      </w:r>
      <w:hyperlink r:id="rId12" w:history="1">
        <w:r w:rsidRPr="0092002E">
          <w:rPr>
            <w:rStyle w:val="Hyperlink"/>
            <w:rFonts w:asciiTheme="minorHAnsi" w:hAnsiTheme="minorHAnsi" w:cstheme="minorHAnsi"/>
            <w:sz w:val="22"/>
            <w:szCs w:val="22"/>
            <w:lang w:val="en-GB"/>
          </w:rPr>
          <w:t>2020</w:t>
        </w:r>
      </w:hyperlink>
      <w:r w:rsidRPr="0092002E">
        <w:rPr>
          <w:rFonts w:asciiTheme="minorHAnsi" w:hAnsiTheme="minorHAnsi" w:cstheme="minorHAnsi"/>
          <w:sz w:val="22"/>
          <w:szCs w:val="22"/>
          <w:lang w:val="en-GB"/>
        </w:rPr>
        <w:t xml:space="preserve">, </w:t>
      </w:r>
      <w:hyperlink r:id="rId13" w:history="1">
        <w:r w:rsidRPr="0092002E">
          <w:rPr>
            <w:rStyle w:val="Hyperlink"/>
            <w:rFonts w:asciiTheme="minorHAnsi" w:hAnsiTheme="minorHAnsi" w:cstheme="minorHAnsi"/>
            <w:sz w:val="22"/>
            <w:szCs w:val="22"/>
            <w:lang w:val="en-GB"/>
          </w:rPr>
          <w:t>2023</w:t>
        </w:r>
      </w:hyperlink>
      <w:r w:rsidRPr="0092002E">
        <w:rPr>
          <w:rFonts w:asciiTheme="minorHAnsi" w:hAnsiTheme="minorHAnsi" w:cstheme="minorHAnsi"/>
          <w:sz w:val="22"/>
          <w:szCs w:val="22"/>
          <w:lang w:val="en-GB"/>
        </w:rPr>
        <w:t xml:space="preserve">) or panel methods (e.g., Goubin and Kumlin, </w:t>
      </w:r>
      <w:hyperlink r:id="rId14" w:history="1">
        <w:r w:rsidRPr="0092002E">
          <w:rPr>
            <w:rStyle w:val="Hyperlink"/>
            <w:rFonts w:asciiTheme="minorHAnsi" w:hAnsiTheme="minorHAnsi" w:cstheme="minorHAnsi"/>
            <w:sz w:val="22"/>
            <w:szCs w:val="22"/>
            <w:lang w:val="en-GB"/>
          </w:rPr>
          <w:t>2022</w:t>
        </w:r>
      </w:hyperlink>
      <w:r w:rsidRPr="0092002E">
        <w:rPr>
          <w:rFonts w:asciiTheme="minorHAnsi" w:hAnsiTheme="minorHAnsi" w:cstheme="minorHAnsi"/>
          <w:sz w:val="22"/>
          <w:szCs w:val="22"/>
          <w:lang w:val="en-GB"/>
        </w:rPr>
        <w:t xml:space="preserve">; Devine and Valgarðsson, </w:t>
      </w:r>
      <w:hyperlink r:id="rId15" w:history="1">
        <w:r w:rsidRPr="0092002E">
          <w:rPr>
            <w:rStyle w:val="Hyperlink"/>
            <w:rFonts w:asciiTheme="minorHAnsi" w:hAnsiTheme="minorHAnsi" w:cstheme="minorHAnsi"/>
            <w:sz w:val="22"/>
            <w:szCs w:val="22"/>
            <w:lang w:val="en-GB"/>
          </w:rPr>
          <w:t>2023</w:t>
        </w:r>
      </w:hyperlink>
      <w:r w:rsidRPr="0092002E">
        <w:rPr>
          <w:rFonts w:asciiTheme="minorHAnsi" w:hAnsiTheme="minorHAnsi" w:cstheme="minorHAnsi"/>
          <w:sz w:val="22"/>
          <w:szCs w:val="22"/>
          <w:lang w:val="en-GB"/>
        </w:rPr>
        <w:t xml:space="preserve">), most </w:t>
      </w:r>
      <w:r w:rsidR="00490A84" w:rsidRPr="0092002E">
        <w:rPr>
          <w:rFonts w:asciiTheme="minorHAnsi" w:hAnsiTheme="minorHAnsi" w:cstheme="minorHAnsi"/>
          <w:sz w:val="22"/>
          <w:szCs w:val="22"/>
          <w:lang w:val="en-GB"/>
        </w:rPr>
        <w:t xml:space="preserve">empirical work on (the consequences of) political trust </w:t>
      </w:r>
      <w:r w:rsidRPr="0092002E">
        <w:rPr>
          <w:rFonts w:asciiTheme="minorHAnsi" w:hAnsiTheme="minorHAnsi" w:cstheme="minorHAnsi"/>
          <w:sz w:val="22"/>
          <w:szCs w:val="22"/>
          <w:lang w:val="en-GB"/>
        </w:rPr>
        <w:t xml:space="preserve">has </w:t>
      </w:r>
      <w:r w:rsidR="00490A84" w:rsidRPr="0092002E">
        <w:rPr>
          <w:rFonts w:asciiTheme="minorHAnsi" w:hAnsiTheme="minorHAnsi" w:cstheme="minorHAnsi"/>
          <w:sz w:val="22"/>
          <w:szCs w:val="22"/>
          <w:lang w:val="en-GB"/>
        </w:rPr>
        <w:t>use</w:t>
      </w:r>
      <w:r w:rsidRPr="0092002E">
        <w:rPr>
          <w:rFonts w:asciiTheme="minorHAnsi" w:hAnsiTheme="minorHAnsi" w:cstheme="minorHAnsi"/>
          <w:sz w:val="22"/>
          <w:szCs w:val="22"/>
          <w:lang w:val="en-GB"/>
        </w:rPr>
        <w:t>d</w:t>
      </w:r>
      <w:r w:rsidR="00490A84" w:rsidRPr="0092002E">
        <w:rPr>
          <w:rFonts w:asciiTheme="minorHAnsi" w:hAnsiTheme="minorHAnsi" w:cstheme="minorHAnsi"/>
          <w:sz w:val="22"/>
          <w:szCs w:val="22"/>
          <w:lang w:val="en-GB"/>
        </w:rPr>
        <w:t xml:space="preserve"> </w:t>
      </w:r>
      <w:r w:rsidRPr="0092002E">
        <w:rPr>
          <w:rFonts w:asciiTheme="minorHAnsi" w:hAnsiTheme="minorHAnsi" w:cstheme="minorHAnsi"/>
          <w:sz w:val="22"/>
          <w:szCs w:val="22"/>
          <w:lang w:val="en-GB"/>
        </w:rPr>
        <w:t xml:space="preserve">cross-sectional, </w:t>
      </w:r>
      <w:r w:rsidR="00490A84" w:rsidRPr="0092002E">
        <w:rPr>
          <w:rFonts w:asciiTheme="minorHAnsi" w:hAnsiTheme="minorHAnsi" w:cstheme="minorHAnsi"/>
          <w:sz w:val="22"/>
          <w:szCs w:val="22"/>
          <w:lang w:val="en-GB"/>
        </w:rPr>
        <w:t xml:space="preserve">observational </w:t>
      </w:r>
      <w:r w:rsidR="006E2390">
        <w:rPr>
          <w:rFonts w:asciiTheme="minorHAnsi" w:hAnsiTheme="minorHAnsi" w:cstheme="minorHAnsi"/>
          <w:sz w:val="22"/>
          <w:szCs w:val="22"/>
          <w:lang w:val="en-GB"/>
        </w:rPr>
        <w:t>designs</w:t>
      </w:r>
      <w:r w:rsidRPr="0092002E">
        <w:rPr>
          <w:rFonts w:asciiTheme="minorHAnsi" w:hAnsiTheme="minorHAnsi" w:cstheme="minorHAnsi"/>
          <w:sz w:val="22"/>
          <w:szCs w:val="22"/>
          <w:lang w:val="en-GB"/>
        </w:rPr>
        <w:t>.</w:t>
      </w:r>
      <w:r w:rsidR="006E2390">
        <w:rPr>
          <w:rFonts w:asciiTheme="minorHAnsi" w:hAnsiTheme="minorHAnsi" w:cstheme="minorHAnsi"/>
          <w:sz w:val="22"/>
          <w:szCs w:val="22"/>
          <w:lang w:val="en-GB"/>
        </w:rPr>
        <w:t xml:space="preserve"> Consequently, </w:t>
      </w:r>
      <w:r w:rsidR="00490A84" w:rsidRPr="0092002E">
        <w:rPr>
          <w:rFonts w:asciiTheme="minorHAnsi" w:hAnsiTheme="minorHAnsi" w:cstheme="minorHAnsi"/>
          <w:sz w:val="22"/>
          <w:szCs w:val="22"/>
          <w:lang w:val="en-GB"/>
        </w:rPr>
        <w:t xml:space="preserve">it is not clear whether </w:t>
      </w:r>
      <w:r w:rsidRPr="0092002E">
        <w:rPr>
          <w:rFonts w:asciiTheme="minorHAnsi" w:hAnsiTheme="minorHAnsi" w:cstheme="minorHAnsi"/>
          <w:sz w:val="22"/>
          <w:szCs w:val="22"/>
          <w:lang w:val="en-GB"/>
        </w:rPr>
        <w:t xml:space="preserve">key </w:t>
      </w:r>
      <w:r w:rsidR="00490A84" w:rsidRPr="0092002E">
        <w:rPr>
          <w:rFonts w:asciiTheme="minorHAnsi" w:hAnsiTheme="minorHAnsi" w:cstheme="minorHAnsi"/>
          <w:sz w:val="22"/>
          <w:szCs w:val="22"/>
          <w:lang w:val="en-GB"/>
        </w:rPr>
        <w:t xml:space="preserve">relationships </w:t>
      </w:r>
      <w:r w:rsidRPr="0092002E">
        <w:rPr>
          <w:rFonts w:asciiTheme="minorHAnsi" w:hAnsiTheme="minorHAnsi" w:cstheme="minorHAnsi"/>
          <w:sz w:val="22"/>
          <w:szCs w:val="22"/>
          <w:lang w:val="en-GB"/>
        </w:rPr>
        <w:t xml:space="preserve">are </w:t>
      </w:r>
      <w:r w:rsidR="00490A84" w:rsidRPr="0092002E">
        <w:rPr>
          <w:rFonts w:asciiTheme="minorHAnsi" w:hAnsiTheme="minorHAnsi" w:cstheme="minorHAnsi"/>
          <w:sz w:val="22"/>
          <w:szCs w:val="22"/>
          <w:lang w:val="en-GB"/>
        </w:rPr>
        <w:t xml:space="preserve">causal, in the sense that changing trust would lead to changes in some other outcome, which is important for understanding the importance of trust and the necessity of increasing trust. Whilst low trust may be normatively important, if it does not actually lead to support for undemocratic politics </w:t>
      </w:r>
      <w:r w:rsidR="006E2390">
        <w:rPr>
          <w:rFonts w:asciiTheme="minorHAnsi" w:hAnsiTheme="minorHAnsi" w:cstheme="minorHAnsi"/>
          <w:sz w:val="22"/>
          <w:szCs w:val="22"/>
          <w:lang w:val="en-GB"/>
        </w:rPr>
        <w:t xml:space="preserve">or </w:t>
      </w:r>
      <w:r w:rsidR="00490A84" w:rsidRPr="0092002E">
        <w:rPr>
          <w:rFonts w:asciiTheme="minorHAnsi" w:hAnsiTheme="minorHAnsi" w:cstheme="minorHAnsi"/>
          <w:sz w:val="22"/>
          <w:szCs w:val="22"/>
          <w:lang w:val="en-GB"/>
        </w:rPr>
        <w:t>extrem</w:t>
      </w:r>
      <w:r w:rsidR="006E2390">
        <w:rPr>
          <w:rFonts w:asciiTheme="minorHAnsi" w:hAnsiTheme="minorHAnsi" w:cstheme="minorHAnsi"/>
          <w:sz w:val="22"/>
          <w:szCs w:val="22"/>
          <w:lang w:val="en-GB"/>
        </w:rPr>
        <w:t>ist</w:t>
      </w:r>
      <w:r w:rsidR="00490A84" w:rsidRPr="0092002E">
        <w:rPr>
          <w:rFonts w:asciiTheme="minorHAnsi" w:hAnsiTheme="minorHAnsi" w:cstheme="minorHAnsi"/>
          <w:sz w:val="22"/>
          <w:szCs w:val="22"/>
          <w:lang w:val="en-GB"/>
        </w:rPr>
        <w:t xml:space="preserve"> parties or less support for </w:t>
      </w:r>
      <w:r w:rsidR="006E2390">
        <w:rPr>
          <w:rFonts w:asciiTheme="minorHAnsi" w:hAnsiTheme="minorHAnsi" w:cstheme="minorHAnsi"/>
          <w:sz w:val="22"/>
          <w:szCs w:val="22"/>
          <w:lang w:val="en-GB"/>
        </w:rPr>
        <w:t xml:space="preserve">vital </w:t>
      </w:r>
      <w:r w:rsidRPr="0092002E">
        <w:rPr>
          <w:rFonts w:asciiTheme="minorHAnsi" w:hAnsiTheme="minorHAnsi" w:cstheme="minorHAnsi"/>
          <w:sz w:val="22"/>
          <w:szCs w:val="22"/>
          <w:lang w:val="en-GB"/>
        </w:rPr>
        <w:t>governmental actions</w:t>
      </w:r>
      <w:r w:rsidR="00490A84" w:rsidRPr="0092002E">
        <w:rPr>
          <w:rFonts w:asciiTheme="minorHAnsi" w:hAnsiTheme="minorHAnsi" w:cstheme="minorHAnsi"/>
          <w:sz w:val="22"/>
          <w:szCs w:val="22"/>
          <w:lang w:val="en-GB"/>
        </w:rPr>
        <w:t xml:space="preserve">, </w:t>
      </w:r>
      <w:r w:rsidR="006E2390">
        <w:rPr>
          <w:rFonts w:asciiTheme="minorHAnsi" w:hAnsiTheme="minorHAnsi" w:cstheme="minorHAnsi"/>
          <w:sz w:val="22"/>
          <w:szCs w:val="22"/>
          <w:lang w:val="en-GB"/>
        </w:rPr>
        <w:t>there is clearly less reason to worry and try to change it</w:t>
      </w:r>
      <w:r w:rsidR="00490A84" w:rsidRPr="0092002E">
        <w:rPr>
          <w:rFonts w:asciiTheme="minorHAnsi" w:hAnsiTheme="minorHAnsi" w:cstheme="minorHAnsi"/>
          <w:sz w:val="22"/>
          <w:szCs w:val="22"/>
          <w:lang w:val="en-GB"/>
        </w:rPr>
        <w:t xml:space="preserve">. </w:t>
      </w:r>
      <w:r w:rsidRPr="0092002E">
        <w:rPr>
          <w:rFonts w:asciiTheme="minorHAnsi" w:hAnsiTheme="minorHAnsi" w:cstheme="minorHAnsi"/>
          <w:sz w:val="22"/>
          <w:szCs w:val="22"/>
          <w:lang w:val="en-GB"/>
        </w:rPr>
        <w:t>Moreover, t</w:t>
      </w:r>
      <w:r w:rsidR="00490A84" w:rsidRPr="0092002E">
        <w:rPr>
          <w:rFonts w:asciiTheme="minorHAnsi" w:hAnsiTheme="minorHAnsi" w:cstheme="minorHAnsi"/>
          <w:sz w:val="22"/>
          <w:szCs w:val="22"/>
          <w:lang w:val="en-GB"/>
        </w:rPr>
        <w:t xml:space="preserve">he lack of panel analyses means we don’t know much about </w:t>
      </w:r>
      <w:r w:rsidR="00FE5057">
        <w:rPr>
          <w:rFonts w:asciiTheme="minorHAnsi" w:hAnsiTheme="minorHAnsi" w:cstheme="minorHAnsi"/>
          <w:sz w:val="22"/>
          <w:szCs w:val="22"/>
          <w:lang w:val="en-GB"/>
        </w:rPr>
        <w:t>the timing and permanence of any effects. A</w:t>
      </w:r>
      <w:r w:rsidR="00490A84" w:rsidRPr="0092002E">
        <w:rPr>
          <w:rFonts w:asciiTheme="minorHAnsi" w:hAnsiTheme="minorHAnsi" w:cstheme="minorHAnsi"/>
          <w:sz w:val="22"/>
          <w:szCs w:val="22"/>
          <w:lang w:val="en-GB"/>
        </w:rPr>
        <w:t>re changes in trust only relevant in the short term, or do they have long-term consequences? Do changes in trust matter only in the future rather than</w:t>
      </w:r>
      <w:r w:rsidR="00FE5057">
        <w:rPr>
          <w:rFonts w:asciiTheme="minorHAnsi" w:hAnsiTheme="minorHAnsi" w:cstheme="minorHAnsi"/>
          <w:sz w:val="22"/>
          <w:szCs w:val="22"/>
          <w:lang w:val="en-GB"/>
        </w:rPr>
        <w:t xml:space="preserve"> immediately</w:t>
      </w:r>
      <w:r w:rsidR="00490A84" w:rsidRPr="0092002E">
        <w:rPr>
          <w:rFonts w:asciiTheme="minorHAnsi" w:hAnsiTheme="minorHAnsi" w:cstheme="minorHAnsi"/>
          <w:sz w:val="22"/>
          <w:szCs w:val="22"/>
          <w:lang w:val="en-GB"/>
        </w:rPr>
        <w:t>?</w:t>
      </w:r>
      <w:r w:rsidR="007C6A35">
        <w:rPr>
          <w:rFonts w:asciiTheme="minorHAnsi" w:hAnsiTheme="minorHAnsi" w:cstheme="minorHAnsi"/>
          <w:sz w:val="22"/>
          <w:szCs w:val="22"/>
          <w:lang w:val="en-GB"/>
        </w:rPr>
        <w:t xml:space="preserve"> In most existing studies, even panel analyses, trust and outcomes are measured at the same time point, but it may be that the effect of (dis)trust evolve over time (consider the person who loses trust, subsequently votes for a radical-right party, who then moves their policy preferences in line </w:t>
      </w:r>
      <w:r w:rsidR="007C6A35">
        <w:rPr>
          <w:rFonts w:asciiTheme="minorHAnsi" w:hAnsiTheme="minorHAnsi" w:cstheme="minorHAnsi"/>
          <w:sz w:val="22"/>
          <w:szCs w:val="22"/>
          <w:lang w:val="en-GB"/>
        </w:rPr>
        <w:lastRenderedPageBreak/>
        <w:t xml:space="preserve">with their new party). </w:t>
      </w:r>
      <w:r w:rsidR="000D66D4" w:rsidRPr="0092002E">
        <w:rPr>
          <w:rFonts w:asciiTheme="minorHAnsi" w:hAnsiTheme="minorHAnsi" w:cstheme="minorHAnsi"/>
          <w:sz w:val="22"/>
          <w:szCs w:val="22"/>
          <w:lang w:val="en-GB"/>
        </w:rPr>
        <w:t>Fairbrother et al. (202</w:t>
      </w:r>
      <w:r w:rsidR="00281609" w:rsidRPr="0092002E">
        <w:rPr>
          <w:rFonts w:asciiTheme="minorHAnsi" w:hAnsiTheme="minorHAnsi" w:cstheme="minorHAnsi"/>
          <w:sz w:val="22"/>
          <w:szCs w:val="22"/>
          <w:lang w:val="en-GB"/>
        </w:rPr>
        <w:t>2</w:t>
      </w:r>
      <w:r w:rsidR="000D66D4" w:rsidRPr="0092002E">
        <w:rPr>
          <w:rFonts w:asciiTheme="minorHAnsi" w:hAnsiTheme="minorHAnsi" w:cstheme="minorHAnsi"/>
          <w:sz w:val="22"/>
          <w:szCs w:val="22"/>
          <w:lang w:val="en-GB"/>
        </w:rPr>
        <w:t xml:space="preserve">) found, </w:t>
      </w:r>
      <w:r w:rsidR="009C14BD" w:rsidRPr="0092002E">
        <w:rPr>
          <w:rFonts w:asciiTheme="minorHAnsi" w:hAnsiTheme="minorHAnsi" w:cstheme="minorHAnsi"/>
          <w:sz w:val="22"/>
          <w:szCs w:val="22"/>
          <w:lang w:val="en-GB"/>
        </w:rPr>
        <w:t xml:space="preserve">using Chinese panel data, that individuals who said they had been treated unfairly by local officials subsequently had lower political and social trust; but, within two years, their trust had </w:t>
      </w:r>
      <w:r w:rsidR="005738C7">
        <w:rPr>
          <w:rFonts w:asciiTheme="minorHAnsi" w:hAnsiTheme="minorHAnsi" w:cstheme="minorHAnsi"/>
          <w:sz w:val="22"/>
          <w:szCs w:val="22"/>
          <w:lang w:val="en-GB"/>
        </w:rPr>
        <w:t xml:space="preserve">effectively </w:t>
      </w:r>
      <w:r w:rsidR="009C14BD" w:rsidRPr="0092002E">
        <w:rPr>
          <w:rFonts w:asciiTheme="minorHAnsi" w:hAnsiTheme="minorHAnsi" w:cstheme="minorHAnsi"/>
          <w:sz w:val="22"/>
          <w:szCs w:val="22"/>
          <w:lang w:val="en-GB"/>
        </w:rPr>
        <w:t>returned to original levels.</w:t>
      </w:r>
      <w:r w:rsidR="007C6A35">
        <w:rPr>
          <w:rFonts w:asciiTheme="minorHAnsi" w:hAnsiTheme="minorHAnsi" w:cstheme="minorHAnsi"/>
          <w:sz w:val="22"/>
          <w:szCs w:val="22"/>
          <w:lang w:val="en-GB"/>
        </w:rPr>
        <w:t xml:space="preserve"> Likewise, Devine and </w:t>
      </w:r>
      <w:r w:rsidR="007C6A35" w:rsidRPr="0092002E">
        <w:rPr>
          <w:rFonts w:asciiTheme="minorHAnsi" w:hAnsiTheme="minorHAnsi" w:cstheme="minorHAnsi"/>
          <w:sz w:val="22"/>
          <w:szCs w:val="22"/>
          <w:lang w:val="en-GB"/>
        </w:rPr>
        <w:t>Valgarðsson</w:t>
      </w:r>
      <w:r w:rsidR="007C6A35">
        <w:rPr>
          <w:rFonts w:asciiTheme="minorHAnsi" w:hAnsiTheme="minorHAnsi" w:cstheme="minorHAnsi"/>
          <w:sz w:val="22"/>
          <w:szCs w:val="22"/>
          <w:lang w:val="en-GB"/>
        </w:rPr>
        <w:t xml:space="preserve"> (2023) found in panel data of up to 19 years that scandals and elections impacted trust but levels returned to their long-term average within 2-3 years. </w:t>
      </w:r>
    </w:p>
    <w:p w14:paraId="3E49BC34" w14:textId="4A3D4B17" w:rsidR="00490A84" w:rsidRPr="00FD0F2E" w:rsidRDefault="009F75DE" w:rsidP="00DD7445">
      <w:pPr>
        <w:ind w:firstLine="708"/>
        <w:rPr>
          <w:rFonts w:asciiTheme="minorHAnsi" w:hAnsiTheme="minorHAnsi" w:cstheme="minorHAnsi"/>
          <w:sz w:val="22"/>
          <w:szCs w:val="22"/>
          <w:lang w:val="en-GB"/>
        </w:rPr>
      </w:pPr>
      <w:r>
        <w:rPr>
          <w:rFonts w:asciiTheme="minorHAnsi" w:hAnsiTheme="minorHAnsi" w:cstheme="minorHAnsi"/>
          <w:sz w:val="22"/>
          <w:szCs w:val="22"/>
          <w:lang w:val="en-GB"/>
        </w:rPr>
        <w:t xml:space="preserve">It would be useful </w:t>
      </w:r>
      <w:r w:rsidR="00490A84" w:rsidRPr="0092002E">
        <w:rPr>
          <w:rFonts w:asciiTheme="minorHAnsi" w:hAnsiTheme="minorHAnsi" w:cstheme="minorHAnsi"/>
          <w:sz w:val="22"/>
          <w:szCs w:val="22"/>
          <w:lang w:val="en-GB"/>
        </w:rPr>
        <w:t>to coordinate experimental analyses cross-nationally, organised by independent research teams, to provide a broader understanding of the (causal) consequences of (dis)trust</w:t>
      </w:r>
      <w:r w:rsidR="00FD0F2E">
        <w:rPr>
          <w:rFonts w:asciiTheme="minorHAnsi" w:hAnsiTheme="minorHAnsi" w:cstheme="minorHAnsi"/>
          <w:sz w:val="22"/>
          <w:szCs w:val="22"/>
          <w:lang w:val="en-GB"/>
        </w:rPr>
        <w:t xml:space="preserve">. (This could be similar to </w:t>
      </w:r>
      <w:r w:rsidR="00FD0F2E" w:rsidRPr="0092002E">
        <w:rPr>
          <w:rFonts w:asciiTheme="minorHAnsi" w:hAnsiTheme="minorHAnsi" w:cstheme="minorHAnsi"/>
          <w:sz w:val="22"/>
          <w:szCs w:val="22"/>
          <w:lang w:val="en-GB"/>
        </w:rPr>
        <w:t>Breznau et al (</w:t>
      </w:r>
      <w:hyperlink r:id="rId16" w:history="1">
        <w:r w:rsidR="00FD0F2E" w:rsidRPr="0092002E">
          <w:rPr>
            <w:rStyle w:val="Hyperlink"/>
            <w:rFonts w:asciiTheme="minorHAnsi" w:hAnsiTheme="minorHAnsi" w:cstheme="minorHAnsi"/>
            <w:sz w:val="22"/>
            <w:szCs w:val="22"/>
            <w:lang w:val="en-GB"/>
          </w:rPr>
          <w:t>2022</w:t>
        </w:r>
      </w:hyperlink>
      <w:r w:rsidR="00FD0F2E" w:rsidRPr="0092002E">
        <w:rPr>
          <w:rFonts w:asciiTheme="minorHAnsi" w:hAnsiTheme="minorHAnsi" w:cstheme="minorHAnsi"/>
          <w:sz w:val="22"/>
          <w:szCs w:val="22"/>
          <w:lang w:val="en-GB"/>
        </w:rPr>
        <w:t>)</w:t>
      </w:r>
      <w:r w:rsidR="00FD0F2E">
        <w:rPr>
          <w:rFonts w:asciiTheme="minorHAnsi" w:hAnsiTheme="minorHAnsi" w:cstheme="minorHAnsi"/>
          <w:sz w:val="22"/>
          <w:szCs w:val="22"/>
          <w:lang w:val="en-GB"/>
        </w:rPr>
        <w:t xml:space="preserve">, which involved coordinated </w:t>
      </w:r>
      <w:r w:rsidR="00490A84" w:rsidRPr="0092002E">
        <w:rPr>
          <w:rFonts w:asciiTheme="minorHAnsi" w:hAnsiTheme="minorHAnsi" w:cstheme="minorHAnsi"/>
          <w:sz w:val="22"/>
          <w:szCs w:val="22"/>
          <w:lang w:val="en-GB"/>
        </w:rPr>
        <w:t xml:space="preserve">independent analyses </w:t>
      </w:r>
      <w:r w:rsidR="00FD0F2E">
        <w:rPr>
          <w:rFonts w:asciiTheme="minorHAnsi" w:hAnsiTheme="minorHAnsi" w:cstheme="minorHAnsi"/>
          <w:sz w:val="22"/>
          <w:szCs w:val="22"/>
          <w:lang w:val="en-GB"/>
        </w:rPr>
        <w:t xml:space="preserve">subsequently </w:t>
      </w:r>
      <w:r w:rsidR="00490A84" w:rsidRPr="0092002E">
        <w:rPr>
          <w:rFonts w:asciiTheme="minorHAnsi" w:hAnsiTheme="minorHAnsi" w:cstheme="minorHAnsi"/>
          <w:sz w:val="22"/>
          <w:szCs w:val="22"/>
          <w:lang w:val="en-GB"/>
        </w:rPr>
        <w:t>pooled together</w:t>
      </w:r>
      <w:r w:rsidR="00FD0F2E">
        <w:rPr>
          <w:rFonts w:asciiTheme="minorHAnsi" w:hAnsiTheme="minorHAnsi" w:cstheme="minorHAnsi"/>
          <w:sz w:val="22"/>
          <w:szCs w:val="22"/>
          <w:lang w:val="en-GB"/>
        </w:rPr>
        <w:t xml:space="preserve">.) </w:t>
      </w:r>
      <w:r w:rsidR="00490A84" w:rsidRPr="0092002E">
        <w:rPr>
          <w:rFonts w:asciiTheme="minorHAnsi" w:hAnsiTheme="minorHAnsi" w:cstheme="minorHAnsi"/>
          <w:sz w:val="22"/>
          <w:szCs w:val="22"/>
          <w:lang w:val="en-GB"/>
        </w:rPr>
        <w:t xml:space="preserve">In the shorter-term, </w:t>
      </w:r>
      <w:r w:rsidR="00FD0F2E">
        <w:rPr>
          <w:rFonts w:asciiTheme="minorHAnsi" w:hAnsiTheme="minorHAnsi" w:cstheme="minorHAnsi"/>
          <w:sz w:val="22"/>
          <w:szCs w:val="22"/>
          <w:lang w:val="en-GB"/>
        </w:rPr>
        <w:t xml:space="preserve">it would also help to </w:t>
      </w:r>
      <w:r w:rsidR="00490A84" w:rsidRPr="0092002E">
        <w:rPr>
          <w:rFonts w:asciiTheme="minorHAnsi" w:hAnsiTheme="minorHAnsi" w:cstheme="minorHAnsi"/>
          <w:sz w:val="22"/>
          <w:szCs w:val="22"/>
          <w:lang w:val="en-GB"/>
        </w:rPr>
        <w:t>identify</w:t>
      </w:r>
      <w:r w:rsidR="00FD0F2E">
        <w:rPr>
          <w:rFonts w:asciiTheme="minorHAnsi" w:hAnsiTheme="minorHAnsi" w:cstheme="minorHAnsi"/>
          <w:sz w:val="22"/>
          <w:szCs w:val="22"/>
          <w:lang w:val="en-GB"/>
        </w:rPr>
        <w:t xml:space="preserve"> relevant</w:t>
      </w:r>
      <w:r w:rsidR="00490A84" w:rsidRPr="0092002E">
        <w:rPr>
          <w:rFonts w:asciiTheme="minorHAnsi" w:hAnsiTheme="minorHAnsi" w:cstheme="minorHAnsi"/>
          <w:sz w:val="22"/>
          <w:szCs w:val="22"/>
          <w:lang w:val="en-GB"/>
        </w:rPr>
        <w:t xml:space="preserve"> experimental manipulations and outcomes of interest. Second, </w:t>
      </w:r>
      <w:r w:rsidR="00FD0F2E">
        <w:rPr>
          <w:rFonts w:asciiTheme="minorHAnsi" w:hAnsiTheme="minorHAnsi" w:cstheme="minorHAnsi"/>
          <w:sz w:val="22"/>
          <w:szCs w:val="22"/>
          <w:lang w:val="en-GB"/>
        </w:rPr>
        <w:t xml:space="preserve">it would also be constructive to </w:t>
      </w:r>
      <w:r w:rsidR="00490A84" w:rsidRPr="0092002E">
        <w:rPr>
          <w:rFonts w:asciiTheme="minorHAnsi" w:hAnsiTheme="minorHAnsi" w:cstheme="minorHAnsi"/>
          <w:sz w:val="22"/>
          <w:szCs w:val="22"/>
          <w:lang w:val="en-GB"/>
        </w:rPr>
        <w:t>collaborate on the pooling and analysis of panel data</w:t>
      </w:r>
      <w:r w:rsidR="00FD0F2E">
        <w:rPr>
          <w:rFonts w:asciiTheme="minorHAnsi" w:hAnsiTheme="minorHAnsi" w:cstheme="minorHAnsi"/>
          <w:sz w:val="22"/>
          <w:szCs w:val="22"/>
          <w:lang w:val="en-GB"/>
        </w:rPr>
        <w:t>.</w:t>
      </w:r>
      <w:r w:rsidR="00490A84" w:rsidRPr="0092002E">
        <w:rPr>
          <w:rFonts w:asciiTheme="minorHAnsi" w:hAnsiTheme="minorHAnsi" w:cstheme="minorHAnsi"/>
          <w:sz w:val="22"/>
          <w:szCs w:val="22"/>
          <w:lang w:val="en-GB"/>
        </w:rPr>
        <w:t xml:space="preserve"> (NB: this is more of a paper than a broader research grant, though fielding new panels is also possible</w:t>
      </w:r>
      <w:r w:rsidR="00FD0F2E">
        <w:rPr>
          <w:rFonts w:asciiTheme="minorHAnsi" w:hAnsiTheme="minorHAnsi" w:cstheme="minorHAnsi"/>
          <w:sz w:val="22"/>
          <w:szCs w:val="22"/>
          <w:lang w:val="en-GB"/>
        </w:rPr>
        <w:t>.)</w:t>
      </w:r>
    </w:p>
    <w:p w14:paraId="0D6F09EA" w14:textId="77777777" w:rsidR="00E70696" w:rsidRPr="0092002E" w:rsidRDefault="00E70696" w:rsidP="00D57927">
      <w:pPr>
        <w:rPr>
          <w:rFonts w:asciiTheme="minorHAnsi" w:hAnsiTheme="minorHAnsi" w:cstheme="minorHAnsi"/>
          <w:sz w:val="22"/>
          <w:szCs w:val="22"/>
          <w:lang w:val="en-GB"/>
        </w:rPr>
      </w:pPr>
    </w:p>
    <w:p w14:paraId="6A818105" w14:textId="61EE5E88" w:rsidR="00E70696" w:rsidRPr="0092002E" w:rsidRDefault="00E70696" w:rsidP="00D57927">
      <w:pPr>
        <w:rPr>
          <w:rFonts w:asciiTheme="minorHAnsi" w:hAnsiTheme="minorHAnsi" w:cstheme="minorHAnsi"/>
          <w:sz w:val="22"/>
          <w:szCs w:val="22"/>
          <w:lang w:val="en-GB"/>
        </w:rPr>
      </w:pPr>
      <w:r w:rsidRPr="0092002E">
        <w:rPr>
          <w:rFonts w:asciiTheme="minorHAnsi" w:hAnsiTheme="minorHAnsi" w:cstheme="minorHAnsi"/>
          <w:i/>
          <w:iCs/>
          <w:sz w:val="22"/>
          <w:szCs w:val="22"/>
          <w:lang w:val="en-GB"/>
        </w:rPr>
        <w:t>Social consequences</w:t>
      </w:r>
      <w:r w:rsidR="005F5F8E">
        <w:rPr>
          <w:rFonts w:asciiTheme="minorHAnsi" w:hAnsiTheme="minorHAnsi" w:cstheme="minorHAnsi"/>
          <w:i/>
          <w:iCs/>
          <w:sz w:val="22"/>
          <w:szCs w:val="22"/>
          <w:lang w:val="en-GB"/>
        </w:rPr>
        <w:t xml:space="preserve"> (in addition to political consequences)</w:t>
      </w:r>
    </w:p>
    <w:p w14:paraId="72FF0B6D" w14:textId="77777777" w:rsidR="00E70696" w:rsidRDefault="00E70696" w:rsidP="00D57927">
      <w:pPr>
        <w:rPr>
          <w:rFonts w:asciiTheme="minorHAnsi" w:hAnsiTheme="minorHAnsi" w:cstheme="minorHAnsi"/>
          <w:sz w:val="22"/>
          <w:szCs w:val="22"/>
          <w:lang w:val="en-GB"/>
        </w:rPr>
      </w:pPr>
    </w:p>
    <w:p w14:paraId="6035093F" w14:textId="5266B295" w:rsidR="003D3625" w:rsidRPr="0092002E" w:rsidRDefault="00A44AD6" w:rsidP="00A44AD6">
      <w:pPr>
        <w:rPr>
          <w:rFonts w:asciiTheme="minorHAnsi" w:hAnsiTheme="minorHAnsi" w:cstheme="minorHAnsi"/>
          <w:sz w:val="22"/>
          <w:szCs w:val="22"/>
          <w:lang w:val="en-GB"/>
        </w:rPr>
      </w:pPr>
      <w:r>
        <w:rPr>
          <w:rFonts w:asciiTheme="minorHAnsi" w:hAnsiTheme="minorHAnsi" w:cstheme="minorHAnsi"/>
          <w:sz w:val="22"/>
          <w:szCs w:val="22"/>
          <w:lang w:val="en-GB"/>
        </w:rPr>
        <w:t xml:space="preserve">There are not just political but also potentially important </w:t>
      </w:r>
      <w:r w:rsidRPr="00A44AD6">
        <w:rPr>
          <w:rFonts w:asciiTheme="minorHAnsi" w:hAnsiTheme="minorHAnsi" w:cstheme="minorHAnsi"/>
          <w:i/>
          <w:iCs/>
          <w:sz w:val="22"/>
          <w:szCs w:val="22"/>
          <w:lang w:val="en-GB"/>
        </w:rPr>
        <w:t>social</w:t>
      </w:r>
      <w:r>
        <w:rPr>
          <w:rFonts w:asciiTheme="minorHAnsi" w:hAnsiTheme="minorHAnsi" w:cstheme="minorHAnsi"/>
          <w:sz w:val="22"/>
          <w:szCs w:val="22"/>
          <w:lang w:val="en-GB"/>
        </w:rPr>
        <w:t xml:space="preserve"> </w:t>
      </w:r>
      <w:r w:rsidR="00E70696" w:rsidRPr="0092002E">
        <w:rPr>
          <w:rFonts w:asciiTheme="minorHAnsi" w:hAnsiTheme="minorHAnsi" w:cstheme="minorHAnsi"/>
          <w:sz w:val="22"/>
          <w:szCs w:val="22"/>
          <w:lang w:val="en-GB"/>
        </w:rPr>
        <w:t xml:space="preserve">consequences of political trust. </w:t>
      </w:r>
      <w:r>
        <w:rPr>
          <w:rFonts w:asciiTheme="minorHAnsi" w:hAnsiTheme="minorHAnsi" w:cstheme="minorHAnsi"/>
          <w:sz w:val="22"/>
          <w:szCs w:val="22"/>
          <w:lang w:val="en-GB"/>
        </w:rPr>
        <w:t xml:space="preserve">That is, </w:t>
      </w:r>
      <w:r w:rsidR="00E70696" w:rsidRPr="0092002E">
        <w:rPr>
          <w:rFonts w:asciiTheme="minorHAnsi" w:hAnsiTheme="minorHAnsi" w:cstheme="minorHAnsi"/>
          <w:sz w:val="22"/>
          <w:szCs w:val="22"/>
          <w:lang w:val="en-GB"/>
        </w:rPr>
        <w:t xml:space="preserve">having (no) trust in a country’s core political institutions can also </w:t>
      </w:r>
      <w:r w:rsidR="00AB1CFC">
        <w:rPr>
          <w:rFonts w:asciiTheme="minorHAnsi" w:hAnsiTheme="minorHAnsi" w:cstheme="minorHAnsi"/>
          <w:sz w:val="22"/>
          <w:szCs w:val="22"/>
          <w:lang w:val="en-GB"/>
        </w:rPr>
        <w:t xml:space="preserve">affect people </w:t>
      </w:r>
      <w:r w:rsidR="00E40517" w:rsidRPr="0092002E">
        <w:rPr>
          <w:rFonts w:asciiTheme="minorHAnsi" w:hAnsiTheme="minorHAnsi" w:cstheme="minorHAnsi"/>
          <w:sz w:val="22"/>
          <w:szCs w:val="22"/>
          <w:lang w:val="en-GB"/>
        </w:rPr>
        <w:t xml:space="preserve">on a more </w:t>
      </w:r>
      <w:r w:rsidR="00E40517" w:rsidRPr="0092002E">
        <w:rPr>
          <w:rFonts w:asciiTheme="minorHAnsi" w:hAnsiTheme="minorHAnsi" w:cstheme="minorHAnsi"/>
          <w:i/>
          <w:iCs/>
          <w:sz w:val="22"/>
          <w:szCs w:val="22"/>
          <w:lang w:val="en-GB"/>
        </w:rPr>
        <w:t>social and personal level</w:t>
      </w:r>
      <w:r w:rsidR="00E40517" w:rsidRPr="0092002E">
        <w:rPr>
          <w:rFonts w:asciiTheme="minorHAnsi" w:hAnsiTheme="minorHAnsi" w:cstheme="minorHAnsi"/>
          <w:sz w:val="22"/>
          <w:szCs w:val="22"/>
          <w:lang w:val="en-GB"/>
        </w:rPr>
        <w:t>.</w:t>
      </w:r>
      <w:r w:rsidR="003D3625" w:rsidRPr="0092002E">
        <w:rPr>
          <w:rFonts w:asciiTheme="minorHAnsi" w:hAnsiTheme="minorHAnsi" w:cstheme="minorHAnsi"/>
          <w:sz w:val="22"/>
          <w:szCs w:val="22"/>
          <w:lang w:val="en-GB"/>
        </w:rPr>
        <w:t xml:space="preserve"> </w:t>
      </w:r>
      <w:r w:rsidR="003220B0">
        <w:rPr>
          <w:rFonts w:asciiTheme="minorHAnsi" w:hAnsiTheme="minorHAnsi" w:cstheme="minorHAnsi"/>
          <w:sz w:val="22"/>
          <w:szCs w:val="22"/>
          <w:lang w:val="en-GB"/>
        </w:rPr>
        <w:t xml:space="preserve">For example, one study found </w:t>
      </w:r>
      <w:r w:rsidR="00E40517" w:rsidRPr="0092002E">
        <w:rPr>
          <w:rFonts w:asciiTheme="minorHAnsi" w:hAnsiTheme="minorHAnsi" w:cstheme="minorHAnsi"/>
          <w:sz w:val="22"/>
          <w:szCs w:val="22"/>
          <w:lang w:val="en-GB"/>
        </w:rPr>
        <w:t xml:space="preserve">a strong correlation between life satisfaction and political trust, or more generally, the perceived quality of democracy </w:t>
      </w:r>
      <w:r w:rsidR="00E40517" w:rsidRPr="0092002E">
        <w:rPr>
          <w:rFonts w:asciiTheme="minorHAnsi" w:hAnsiTheme="minorHAnsi" w:cstheme="minorHAnsi"/>
          <w:sz w:val="22"/>
          <w:szCs w:val="22"/>
          <w:lang w:val="en-GB"/>
        </w:rPr>
        <w:fldChar w:fldCharType="begin" w:fldLock="1"/>
      </w:r>
      <w:r w:rsidR="005039A6" w:rsidRPr="0092002E">
        <w:rPr>
          <w:rFonts w:asciiTheme="minorHAnsi" w:hAnsiTheme="minorHAnsi" w:cstheme="minorHAnsi"/>
          <w:sz w:val="22"/>
          <w:szCs w:val="22"/>
          <w:lang w:val="en-GB"/>
        </w:rPr>
        <w:instrText>ADDIN CSL_CITATION {"citationItems":[{"id":"ITEM-1","itemData":{"DOI":"10.1111/1475-6765.12335","ISSN":"1475-6765","abstract":"It is argued in this article that citizens in democracies use their subjective well-being (SWB) as an evaluative criterion when deciding how willing they are to support and comply with government dictates (political system support). When life is satisfactory, government authorities are rewarded with support, when it is not, citizens punish authorities by withholding their support. To make sense of the relationship, it is suggested that citizens act as if they have signed a happiness contract with ‘those in power’. In support of this argument, comparative survey data shows that SWB predicts attitudes on political system support across country contexts and under strong control conditions. Establishing that the relationship is causal, panel data documents that attitudes on political system support can be undermined following the termination of a close personal relationship, and that the causal effect is mediated via changes in SWB. Finally, as predicted, the happiness-support relationship is weaker among individuals who are high on spirituality/religiousness and attribute blame for external events to both worldly and non-worldly powers.","author":[{"dropping-particle":"","family":"Esaiasson","given":"Peter","non-dropping-particle":"","parse-names":false,"suffix":""},{"dropping-particle":"","family":"Dahlberg","given":"Stefan","non-dropping-particle":"","parse-names":false,"suffix":""},{"dropping-particle":"","family":"Kokkonen","given":"Andrej","non-dropping-particle":"","parse-names":false,"suffix":""}],"container-title":"European Journal of Political Research","id":"ITEM-1","issue":"1","issued":{"date-parts":[["2020","2","1"]]},"page":"25-44","publisher":"John Wiley &amp; Sons, Ltd","title":"In pursuit of happiness: Life satisfaction drives political support","type":"article-journal","volume":"59"},"uris":["http://www.mendeley.com/documents/?uuid=5e0da8f6-e5f3-3d94-bdcc-5f17ad15edee"]}],"mendeley":{"formattedCitation":"(Esaiasson et al., 2020)","manualFormatting":"(Esaiasson et al., 2020, Ott 2011)","plainTextFormattedCitation":"(Esaiasson et al., 2020)"},"properties":{"noteIndex":0},"schema":"https://github.com/citation-style-language/schema/raw/master/csl-citation.json"}</w:instrText>
      </w:r>
      <w:r w:rsidR="00E40517" w:rsidRPr="0092002E">
        <w:rPr>
          <w:rFonts w:asciiTheme="minorHAnsi" w:hAnsiTheme="minorHAnsi" w:cstheme="minorHAnsi"/>
          <w:sz w:val="22"/>
          <w:szCs w:val="22"/>
          <w:lang w:val="en-GB"/>
        </w:rPr>
        <w:fldChar w:fldCharType="separate"/>
      </w:r>
      <w:r w:rsidR="00E40517" w:rsidRPr="0092002E">
        <w:rPr>
          <w:rFonts w:asciiTheme="minorHAnsi" w:hAnsiTheme="minorHAnsi" w:cstheme="minorHAnsi"/>
          <w:sz w:val="22"/>
          <w:szCs w:val="22"/>
          <w:lang w:val="en-GB"/>
        </w:rPr>
        <w:t>(Esaiasson et al., 2020)</w:t>
      </w:r>
      <w:r w:rsidR="00E40517" w:rsidRPr="0092002E">
        <w:rPr>
          <w:rFonts w:asciiTheme="minorHAnsi" w:hAnsiTheme="minorHAnsi" w:cstheme="minorHAnsi"/>
          <w:sz w:val="22"/>
          <w:szCs w:val="22"/>
          <w:lang w:val="en-GB"/>
        </w:rPr>
        <w:fldChar w:fldCharType="end"/>
      </w:r>
      <w:r w:rsidR="005039A6" w:rsidRPr="0092002E">
        <w:rPr>
          <w:rFonts w:asciiTheme="minorHAnsi" w:hAnsiTheme="minorHAnsi" w:cstheme="minorHAnsi"/>
          <w:sz w:val="22"/>
          <w:szCs w:val="22"/>
          <w:lang w:val="en-GB"/>
        </w:rPr>
        <w:t xml:space="preserve">. </w:t>
      </w:r>
      <w:r w:rsidR="00DF2152" w:rsidRPr="0092002E">
        <w:rPr>
          <w:rFonts w:asciiTheme="minorHAnsi" w:hAnsiTheme="minorHAnsi" w:cstheme="minorHAnsi"/>
          <w:sz w:val="22"/>
          <w:szCs w:val="22"/>
          <w:lang w:val="en-GB"/>
        </w:rPr>
        <w:t>Living in a country with trustworthy political institutions can foster social trust</w:t>
      </w:r>
      <w:r w:rsidR="005039A6" w:rsidRPr="0092002E">
        <w:rPr>
          <w:rFonts w:asciiTheme="minorHAnsi" w:hAnsiTheme="minorHAnsi" w:cstheme="minorHAnsi"/>
          <w:sz w:val="22"/>
          <w:szCs w:val="22"/>
          <w:lang w:val="en-GB"/>
        </w:rPr>
        <w:t xml:space="preserve"> </w:t>
      </w:r>
      <w:r w:rsidR="00DF2152" w:rsidRPr="0092002E">
        <w:rPr>
          <w:rFonts w:asciiTheme="minorHAnsi" w:hAnsiTheme="minorHAnsi" w:cstheme="minorHAnsi"/>
          <w:sz w:val="22"/>
          <w:szCs w:val="22"/>
          <w:lang w:val="en-GB"/>
        </w:rPr>
        <w:t>and, consequently, result in higher happiness (e.g</w:t>
      </w:r>
      <w:r w:rsidR="00802E56" w:rsidRPr="0092002E">
        <w:rPr>
          <w:rFonts w:asciiTheme="minorHAnsi" w:hAnsiTheme="minorHAnsi" w:cstheme="minorHAnsi"/>
          <w:sz w:val="22"/>
          <w:szCs w:val="22"/>
          <w:lang w:val="en-GB"/>
        </w:rPr>
        <w:t xml:space="preserve">. </w:t>
      </w:r>
      <w:r w:rsidR="005039A6" w:rsidRPr="0092002E">
        <w:rPr>
          <w:rFonts w:asciiTheme="minorHAnsi" w:hAnsiTheme="minorHAnsi" w:cstheme="minorHAnsi"/>
          <w:sz w:val="22"/>
          <w:szCs w:val="22"/>
          <w:lang w:val="en-GB"/>
        </w:rPr>
        <w:t>Dinesen et al. 2022</w:t>
      </w:r>
      <w:r w:rsidR="00DF2152" w:rsidRPr="0092002E">
        <w:rPr>
          <w:rFonts w:asciiTheme="minorHAnsi" w:hAnsiTheme="minorHAnsi" w:cstheme="minorHAnsi"/>
          <w:sz w:val="22"/>
          <w:szCs w:val="22"/>
          <w:lang w:val="en-GB"/>
        </w:rPr>
        <w:t>)</w:t>
      </w:r>
      <w:r w:rsidR="005039A6" w:rsidRPr="0092002E">
        <w:rPr>
          <w:rFonts w:asciiTheme="minorHAnsi" w:hAnsiTheme="minorHAnsi" w:cstheme="minorHAnsi"/>
          <w:sz w:val="22"/>
          <w:szCs w:val="22"/>
          <w:lang w:val="en-GB"/>
        </w:rPr>
        <w:t>. Yet, there is also an alternative pathway in which political trust can affect personal well-being that remains largely unexplored: political trust can help people cope with social and economic risks that they face on a personal level.</w:t>
      </w:r>
      <w:r w:rsidR="003D3625" w:rsidRPr="0092002E">
        <w:rPr>
          <w:rFonts w:asciiTheme="minorHAnsi" w:hAnsiTheme="minorHAnsi" w:cstheme="minorHAnsi"/>
          <w:sz w:val="22"/>
          <w:szCs w:val="22"/>
          <w:lang w:val="en-GB"/>
        </w:rPr>
        <w:t xml:space="preserve"> </w:t>
      </w:r>
    </w:p>
    <w:p w14:paraId="5C38828E" w14:textId="45D6DA01" w:rsidR="00674E93" w:rsidRPr="0092002E" w:rsidRDefault="003D3625" w:rsidP="00D57927">
      <w:pPr>
        <w:rPr>
          <w:rFonts w:asciiTheme="minorHAnsi" w:hAnsiTheme="minorHAnsi" w:cstheme="minorHAnsi"/>
          <w:sz w:val="22"/>
          <w:szCs w:val="22"/>
          <w:lang w:val="en-GB"/>
        </w:rPr>
      </w:pPr>
      <w:r w:rsidRPr="0092002E">
        <w:rPr>
          <w:rFonts w:asciiTheme="minorHAnsi" w:hAnsiTheme="minorHAnsi" w:cstheme="minorHAnsi"/>
          <w:sz w:val="22"/>
          <w:szCs w:val="22"/>
          <w:lang w:val="en-GB"/>
        </w:rPr>
        <w:tab/>
      </w:r>
      <w:r w:rsidR="00C8403D" w:rsidRPr="0092002E">
        <w:rPr>
          <w:rFonts w:asciiTheme="minorHAnsi" w:hAnsiTheme="minorHAnsi" w:cstheme="minorHAnsi"/>
          <w:sz w:val="22"/>
          <w:szCs w:val="22"/>
          <w:lang w:val="en-GB"/>
        </w:rPr>
        <w:t xml:space="preserve">A vast body of psychology literature has demonstrated </w:t>
      </w:r>
      <w:r w:rsidR="00F708AC" w:rsidRPr="0092002E">
        <w:rPr>
          <w:rFonts w:asciiTheme="minorHAnsi" w:hAnsiTheme="minorHAnsi" w:cstheme="minorHAnsi"/>
          <w:sz w:val="22"/>
          <w:szCs w:val="22"/>
          <w:lang w:val="en-GB"/>
        </w:rPr>
        <w:t xml:space="preserve">that humans have a fundamental need for safety and certainty (Kagan, 1972). Individuals have a strong preferences for a predictable and structured world, and usually experience uncertainty as highly aversive and threatening (Hogg, 2007). Studies on uncertainty and risk management </w:t>
      </w:r>
      <w:r w:rsidR="00C60A00" w:rsidRPr="0092002E">
        <w:rPr>
          <w:rFonts w:asciiTheme="minorHAnsi" w:hAnsiTheme="minorHAnsi" w:cstheme="minorHAnsi"/>
          <w:sz w:val="22"/>
          <w:szCs w:val="22"/>
          <w:lang w:val="en-GB"/>
        </w:rPr>
        <w:t>demonstrate that</w:t>
      </w:r>
      <w:r w:rsidR="00F708AC" w:rsidRPr="0092002E">
        <w:rPr>
          <w:rFonts w:asciiTheme="minorHAnsi" w:hAnsiTheme="minorHAnsi" w:cstheme="minorHAnsi"/>
          <w:sz w:val="22"/>
          <w:szCs w:val="22"/>
          <w:lang w:val="en-GB"/>
        </w:rPr>
        <w:t xml:space="preserve"> social trust as well as trust in groups or organizations </w:t>
      </w:r>
      <w:r w:rsidR="00C60A00" w:rsidRPr="0092002E">
        <w:rPr>
          <w:rFonts w:asciiTheme="minorHAnsi" w:hAnsiTheme="minorHAnsi" w:cstheme="minorHAnsi"/>
          <w:sz w:val="22"/>
          <w:szCs w:val="22"/>
          <w:lang w:val="en-GB"/>
        </w:rPr>
        <w:t xml:space="preserve">are </w:t>
      </w:r>
      <w:r w:rsidR="00F708AC" w:rsidRPr="0092002E">
        <w:rPr>
          <w:rFonts w:asciiTheme="minorHAnsi" w:hAnsiTheme="minorHAnsi" w:cstheme="minorHAnsi"/>
          <w:sz w:val="22"/>
          <w:szCs w:val="22"/>
          <w:lang w:val="en-GB"/>
        </w:rPr>
        <w:t>effective mechanism</w:t>
      </w:r>
      <w:r w:rsidR="00C60A00" w:rsidRPr="0092002E">
        <w:rPr>
          <w:rFonts w:asciiTheme="minorHAnsi" w:hAnsiTheme="minorHAnsi" w:cstheme="minorHAnsi"/>
          <w:sz w:val="22"/>
          <w:szCs w:val="22"/>
          <w:lang w:val="en-GB"/>
        </w:rPr>
        <w:t>s</w:t>
      </w:r>
      <w:r w:rsidR="00F708AC" w:rsidRPr="0092002E">
        <w:rPr>
          <w:rFonts w:asciiTheme="minorHAnsi" w:hAnsiTheme="minorHAnsi" w:cstheme="minorHAnsi"/>
          <w:sz w:val="22"/>
          <w:szCs w:val="22"/>
          <w:lang w:val="en-GB"/>
        </w:rPr>
        <w:t xml:space="preserve"> to reduce risk perception and manage uncertainty (cf. Janssen, 2010; </w:t>
      </w:r>
      <w:r w:rsidRPr="0092002E">
        <w:rPr>
          <w:rFonts w:asciiTheme="minorHAnsi" w:hAnsiTheme="minorHAnsi" w:cstheme="minorHAnsi"/>
          <w:sz w:val="22"/>
          <w:szCs w:val="22"/>
          <w:lang w:val="en-GB"/>
        </w:rPr>
        <w:t>Siegrist 2006</w:t>
      </w:r>
      <w:r w:rsidR="00F708AC" w:rsidRPr="0092002E">
        <w:rPr>
          <w:rFonts w:asciiTheme="minorHAnsi" w:hAnsiTheme="minorHAnsi" w:cstheme="minorHAnsi"/>
          <w:sz w:val="22"/>
          <w:szCs w:val="22"/>
          <w:lang w:val="en-GB"/>
        </w:rPr>
        <w:t xml:space="preserve">). Interestingly, despite trust being broadly recognized as a coping mechanism within social psychology, the field has rarely considered the role of trust in political institutions for uncertainty management. </w:t>
      </w:r>
    </w:p>
    <w:p w14:paraId="615776A6" w14:textId="0EA126EA" w:rsidR="003D3625" w:rsidRPr="0092002E" w:rsidRDefault="003D3625" w:rsidP="00D57927">
      <w:pPr>
        <w:ind w:firstLine="708"/>
        <w:rPr>
          <w:rFonts w:asciiTheme="minorHAnsi" w:hAnsiTheme="minorHAnsi" w:cstheme="minorHAnsi"/>
          <w:sz w:val="22"/>
          <w:szCs w:val="22"/>
          <w:lang w:val="en-GB"/>
        </w:rPr>
      </w:pPr>
      <w:r w:rsidRPr="0092002E">
        <w:rPr>
          <w:rFonts w:asciiTheme="minorHAnsi" w:hAnsiTheme="minorHAnsi" w:cstheme="minorHAnsi"/>
          <w:sz w:val="22"/>
          <w:szCs w:val="22"/>
          <w:lang w:val="en-GB"/>
        </w:rPr>
        <w:t xml:space="preserve">Theoretically, trust in institutions is an important factor </w:t>
      </w:r>
      <w:r w:rsidR="00C60A00" w:rsidRPr="0092002E">
        <w:rPr>
          <w:rFonts w:asciiTheme="minorHAnsi" w:hAnsiTheme="minorHAnsi" w:cstheme="minorHAnsi"/>
          <w:sz w:val="22"/>
          <w:szCs w:val="22"/>
          <w:lang w:val="en-GB"/>
        </w:rPr>
        <w:t>for</w:t>
      </w:r>
      <w:r w:rsidRPr="0092002E">
        <w:rPr>
          <w:rFonts w:asciiTheme="minorHAnsi" w:hAnsiTheme="minorHAnsi" w:cstheme="minorHAnsi"/>
          <w:sz w:val="22"/>
          <w:szCs w:val="22"/>
          <w:lang w:val="en-GB"/>
        </w:rPr>
        <w:t xml:space="preserve"> risk perception as it reflects people’s confidence in institutions’ ability to manage and mitigate </w:t>
      </w:r>
      <w:r w:rsidR="00C60A00" w:rsidRPr="0092002E">
        <w:rPr>
          <w:rFonts w:asciiTheme="minorHAnsi" w:hAnsiTheme="minorHAnsi" w:cstheme="minorHAnsi"/>
          <w:sz w:val="22"/>
          <w:szCs w:val="22"/>
          <w:lang w:val="en-GB"/>
        </w:rPr>
        <w:t xml:space="preserve">future </w:t>
      </w:r>
      <w:r w:rsidRPr="0092002E">
        <w:rPr>
          <w:rFonts w:asciiTheme="minorHAnsi" w:hAnsiTheme="minorHAnsi" w:cstheme="minorHAnsi"/>
          <w:sz w:val="22"/>
          <w:szCs w:val="22"/>
          <w:lang w:val="en-GB"/>
        </w:rPr>
        <w:t>risk</w:t>
      </w:r>
      <w:r w:rsidR="00C817F0" w:rsidRPr="0092002E">
        <w:rPr>
          <w:rFonts w:asciiTheme="minorHAnsi" w:hAnsiTheme="minorHAnsi" w:cstheme="minorHAnsi"/>
          <w:sz w:val="22"/>
          <w:szCs w:val="22"/>
          <w:lang w:val="en-GB"/>
        </w:rPr>
        <w:t xml:space="preserve">. </w:t>
      </w:r>
      <w:r w:rsidRPr="0092002E">
        <w:rPr>
          <w:rFonts w:asciiTheme="minorHAnsi" w:hAnsiTheme="minorHAnsi" w:cstheme="minorHAnsi"/>
          <w:sz w:val="22"/>
          <w:szCs w:val="22"/>
          <w:lang w:val="en-GB"/>
        </w:rPr>
        <w:t>Empirically, p</w:t>
      </w:r>
      <w:r w:rsidR="00674E93" w:rsidRPr="0092002E">
        <w:rPr>
          <w:rFonts w:asciiTheme="minorHAnsi" w:hAnsiTheme="minorHAnsi" w:cstheme="minorHAnsi"/>
          <w:sz w:val="22"/>
          <w:szCs w:val="22"/>
          <w:lang w:val="en-GB"/>
        </w:rPr>
        <w:t xml:space="preserve">olitical trust has been linked to economic risk with people who have high political trust experiencing lower levels of economic threat compared to those with low trust when faced with the same economic risks </w:t>
      </w:r>
      <w:r w:rsidR="00F708AC" w:rsidRPr="0092002E">
        <w:rPr>
          <w:rFonts w:asciiTheme="minorHAnsi" w:hAnsiTheme="minorHAnsi" w:cstheme="minorHAnsi"/>
          <w:sz w:val="22"/>
          <w:szCs w:val="22"/>
          <w:lang w:val="en-GB"/>
        </w:rPr>
        <w:t>(e.g. Wroe 2014</w:t>
      </w:r>
      <w:r w:rsidR="00774B5F" w:rsidRPr="0092002E">
        <w:rPr>
          <w:rFonts w:asciiTheme="minorHAnsi" w:hAnsiTheme="minorHAnsi" w:cstheme="minorHAnsi"/>
          <w:sz w:val="22"/>
          <w:szCs w:val="22"/>
          <w:lang w:val="en-GB"/>
        </w:rPr>
        <w:t xml:space="preserve">) </w:t>
      </w:r>
      <w:r w:rsidR="00C817F0" w:rsidRPr="0092002E">
        <w:rPr>
          <w:rFonts w:asciiTheme="minorHAnsi" w:hAnsiTheme="minorHAnsi" w:cstheme="minorHAnsi"/>
          <w:sz w:val="22"/>
          <w:szCs w:val="22"/>
          <w:lang w:val="en-GB"/>
        </w:rPr>
        <w:t>Here, political trust has primarily been considered as a consequence of risk experiences, despite the evidence being based on cross-sectional data</w:t>
      </w:r>
      <w:r w:rsidR="00B447C6" w:rsidRPr="0092002E">
        <w:rPr>
          <w:rFonts w:asciiTheme="minorHAnsi" w:hAnsiTheme="minorHAnsi" w:cstheme="minorHAnsi"/>
          <w:sz w:val="22"/>
          <w:szCs w:val="22"/>
          <w:lang w:val="en-GB"/>
        </w:rPr>
        <w:t xml:space="preserve">. A recent study </w:t>
      </w:r>
      <w:r w:rsidR="00C60A00" w:rsidRPr="0092002E">
        <w:rPr>
          <w:rFonts w:asciiTheme="minorHAnsi" w:hAnsiTheme="minorHAnsi" w:cstheme="minorHAnsi"/>
          <w:sz w:val="22"/>
          <w:szCs w:val="22"/>
          <w:lang w:val="en-GB"/>
        </w:rPr>
        <w:t xml:space="preserve">however </w:t>
      </w:r>
      <w:r w:rsidR="00B447C6" w:rsidRPr="0092002E">
        <w:rPr>
          <w:rFonts w:asciiTheme="minorHAnsi" w:hAnsiTheme="minorHAnsi" w:cstheme="minorHAnsi"/>
          <w:sz w:val="22"/>
          <w:szCs w:val="22"/>
          <w:lang w:val="en-GB"/>
        </w:rPr>
        <w:t>suggest</w:t>
      </w:r>
      <w:r w:rsidR="00C60A00" w:rsidRPr="0092002E">
        <w:rPr>
          <w:rFonts w:asciiTheme="minorHAnsi" w:hAnsiTheme="minorHAnsi" w:cstheme="minorHAnsi"/>
          <w:sz w:val="22"/>
          <w:szCs w:val="22"/>
          <w:lang w:val="en-GB"/>
        </w:rPr>
        <w:t>s</w:t>
      </w:r>
      <w:r w:rsidR="00B447C6" w:rsidRPr="0092002E">
        <w:rPr>
          <w:rFonts w:asciiTheme="minorHAnsi" w:hAnsiTheme="minorHAnsi" w:cstheme="minorHAnsi"/>
          <w:sz w:val="22"/>
          <w:szCs w:val="22"/>
          <w:lang w:val="en-GB"/>
        </w:rPr>
        <w:t xml:space="preserve"> the causal pathway </w:t>
      </w:r>
      <w:r w:rsidR="00C60A00" w:rsidRPr="0092002E">
        <w:rPr>
          <w:rFonts w:asciiTheme="minorHAnsi" w:hAnsiTheme="minorHAnsi" w:cstheme="minorHAnsi"/>
          <w:sz w:val="22"/>
          <w:szCs w:val="22"/>
          <w:lang w:val="en-GB"/>
        </w:rPr>
        <w:t xml:space="preserve">may </w:t>
      </w:r>
      <w:r w:rsidR="00B447C6" w:rsidRPr="0092002E">
        <w:rPr>
          <w:rFonts w:asciiTheme="minorHAnsi" w:hAnsiTheme="minorHAnsi" w:cstheme="minorHAnsi"/>
          <w:sz w:val="22"/>
          <w:szCs w:val="22"/>
          <w:lang w:val="en-GB"/>
        </w:rPr>
        <w:t>actually run in the reversed direction, from risk to trust</w:t>
      </w:r>
      <w:r w:rsidR="00C817F0" w:rsidRPr="0092002E">
        <w:rPr>
          <w:rFonts w:asciiTheme="minorHAnsi" w:hAnsiTheme="minorHAnsi" w:cstheme="minorHAnsi"/>
          <w:sz w:val="22"/>
          <w:szCs w:val="22"/>
          <w:lang w:val="en-GB"/>
        </w:rPr>
        <w:t xml:space="preserve"> </w:t>
      </w:r>
      <w:r w:rsidR="00B447C6" w:rsidRPr="0092002E">
        <w:rPr>
          <w:rFonts w:asciiTheme="minorHAnsi" w:hAnsiTheme="minorHAnsi" w:cstheme="minorHAnsi"/>
          <w:sz w:val="22"/>
          <w:szCs w:val="22"/>
          <w:lang w:val="en-GB"/>
        </w:rPr>
        <w:t>(</w:t>
      </w:r>
      <w:r w:rsidR="00C817F0" w:rsidRPr="0092002E">
        <w:rPr>
          <w:rFonts w:asciiTheme="minorHAnsi" w:hAnsiTheme="minorHAnsi" w:cstheme="minorHAnsi"/>
          <w:sz w:val="22"/>
          <w:szCs w:val="22"/>
          <w:lang w:val="en-GB"/>
        </w:rPr>
        <w:t xml:space="preserve">Haugsgjerd </w:t>
      </w:r>
      <w:r w:rsidR="00520359">
        <w:rPr>
          <w:rFonts w:asciiTheme="minorHAnsi" w:hAnsiTheme="minorHAnsi" w:cstheme="minorHAnsi"/>
          <w:sz w:val="22"/>
          <w:szCs w:val="22"/>
          <w:lang w:val="en-GB"/>
        </w:rPr>
        <w:t>and</w:t>
      </w:r>
      <w:r w:rsidR="00C817F0" w:rsidRPr="0092002E">
        <w:rPr>
          <w:rFonts w:asciiTheme="minorHAnsi" w:hAnsiTheme="minorHAnsi" w:cstheme="minorHAnsi"/>
          <w:sz w:val="22"/>
          <w:szCs w:val="22"/>
          <w:lang w:val="en-GB"/>
        </w:rPr>
        <w:t xml:space="preserve"> Kumlin</w:t>
      </w:r>
      <w:r w:rsidR="00774B5F" w:rsidRPr="0092002E">
        <w:rPr>
          <w:rFonts w:asciiTheme="minorHAnsi" w:hAnsiTheme="minorHAnsi" w:cstheme="minorHAnsi"/>
          <w:sz w:val="22"/>
          <w:szCs w:val="22"/>
          <w:lang w:val="en-GB"/>
        </w:rPr>
        <w:t xml:space="preserve"> 2020</w:t>
      </w:r>
      <w:r w:rsidR="00C817F0" w:rsidRPr="0092002E">
        <w:rPr>
          <w:rFonts w:asciiTheme="minorHAnsi" w:hAnsiTheme="minorHAnsi" w:cstheme="minorHAnsi"/>
          <w:sz w:val="22"/>
          <w:szCs w:val="22"/>
          <w:lang w:val="en-GB"/>
        </w:rPr>
        <w:t xml:space="preserve">). In the same light, political trust has been linked to </w:t>
      </w:r>
      <w:r w:rsidR="00B447C6" w:rsidRPr="0092002E">
        <w:rPr>
          <w:rFonts w:asciiTheme="minorHAnsi" w:hAnsiTheme="minorHAnsi" w:cstheme="minorHAnsi"/>
          <w:sz w:val="22"/>
          <w:szCs w:val="22"/>
          <w:lang w:val="en-GB"/>
        </w:rPr>
        <w:t xml:space="preserve">lower </w:t>
      </w:r>
      <w:r w:rsidR="00C817F0" w:rsidRPr="0092002E">
        <w:rPr>
          <w:rFonts w:asciiTheme="minorHAnsi" w:hAnsiTheme="minorHAnsi" w:cstheme="minorHAnsi"/>
          <w:sz w:val="22"/>
          <w:szCs w:val="22"/>
          <w:lang w:val="en-GB"/>
        </w:rPr>
        <w:t>Covid-19 risk perceptions (Dryhurst</w:t>
      </w:r>
      <w:r w:rsidR="00C817F0" w:rsidRPr="0092002E">
        <w:rPr>
          <w:rFonts w:asciiTheme="minorHAnsi" w:hAnsiTheme="minorHAnsi" w:cstheme="minorHAnsi"/>
          <w:spacing w:val="-11"/>
          <w:sz w:val="22"/>
          <w:szCs w:val="22"/>
          <w:lang w:val="en-GB"/>
        </w:rPr>
        <w:t xml:space="preserve"> </w:t>
      </w:r>
      <w:r w:rsidR="00C817F0" w:rsidRPr="0092002E">
        <w:rPr>
          <w:rFonts w:asciiTheme="minorHAnsi" w:hAnsiTheme="minorHAnsi" w:cstheme="minorHAnsi"/>
          <w:sz w:val="22"/>
          <w:szCs w:val="22"/>
          <w:lang w:val="en-GB"/>
        </w:rPr>
        <w:t>et</w:t>
      </w:r>
      <w:r w:rsidR="00C817F0" w:rsidRPr="0092002E">
        <w:rPr>
          <w:rFonts w:asciiTheme="minorHAnsi" w:hAnsiTheme="minorHAnsi" w:cstheme="minorHAnsi"/>
          <w:spacing w:val="-11"/>
          <w:sz w:val="22"/>
          <w:szCs w:val="22"/>
          <w:lang w:val="en-GB"/>
        </w:rPr>
        <w:t xml:space="preserve"> </w:t>
      </w:r>
      <w:r w:rsidR="00C817F0" w:rsidRPr="0092002E">
        <w:rPr>
          <w:rFonts w:asciiTheme="minorHAnsi" w:hAnsiTheme="minorHAnsi" w:cstheme="minorHAnsi"/>
          <w:sz w:val="22"/>
          <w:szCs w:val="22"/>
          <w:lang w:val="en-GB"/>
        </w:rPr>
        <w:t>al.,</w:t>
      </w:r>
      <w:r w:rsidR="00C817F0" w:rsidRPr="0092002E">
        <w:rPr>
          <w:rFonts w:asciiTheme="minorHAnsi" w:hAnsiTheme="minorHAnsi" w:cstheme="minorHAnsi"/>
          <w:spacing w:val="-11"/>
          <w:sz w:val="22"/>
          <w:szCs w:val="22"/>
          <w:lang w:val="en-GB"/>
        </w:rPr>
        <w:t xml:space="preserve"> </w:t>
      </w:r>
      <w:r w:rsidR="00C817F0" w:rsidRPr="0092002E">
        <w:rPr>
          <w:rFonts w:asciiTheme="minorHAnsi" w:hAnsiTheme="minorHAnsi" w:cstheme="minorHAnsi"/>
          <w:sz w:val="22"/>
          <w:szCs w:val="22"/>
          <w:lang w:val="en-GB"/>
        </w:rPr>
        <w:t>2020)</w:t>
      </w:r>
      <w:r w:rsidR="009C14BD" w:rsidRPr="0092002E">
        <w:rPr>
          <w:rFonts w:asciiTheme="minorHAnsi" w:hAnsiTheme="minorHAnsi" w:cstheme="minorHAnsi"/>
          <w:sz w:val="22"/>
          <w:szCs w:val="22"/>
          <w:lang w:val="en-GB"/>
        </w:rPr>
        <w:t xml:space="preserve"> </w:t>
      </w:r>
      <w:r w:rsidR="00403E02" w:rsidRPr="0092002E">
        <w:rPr>
          <w:rFonts w:asciiTheme="minorHAnsi" w:hAnsiTheme="minorHAnsi" w:cstheme="minorHAnsi"/>
          <w:sz w:val="22"/>
          <w:szCs w:val="22"/>
          <w:lang w:val="en-GB"/>
        </w:rPr>
        <w:t xml:space="preserve">and </w:t>
      </w:r>
      <w:r w:rsidRPr="0092002E">
        <w:rPr>
          <w:rFonts w:asciiTheme="minorHAnsi" w:hAnsiTheme="minorHAnsi" w:cstheme="minorHAnsi"/>
          <w:sz w:val="22"/>
          <w:szCs w:val="22"/>
          <w:lang w:val="en-GB"/>
        </w:rPr>
        <w:t xml:space="preserve">to perceptions </w:t>
      </w:r>
      <w:r w:rsidR="00281609" w:rsidRPr="0092002E">
        <w:rPr>
          <w:rFonts w:asciiTheme="minorHAnsi" w:hAnsiTheme="minorHAnsi" w:cstheme="minorHAnsi"/>
          <w:sz w:val="22"/>
          <w:szCs w:val="22"/>
          <w:lang w:val="en-GB"/>
        </w:rPr>
        <w:t xml:space="preserve">of </w:t>
      </w:r>
      <w:r w:rsidR="00403E02" w:rsidRPr="0092002E">
        <w:rPr>
          <w:rFonts w:asciiTheme="minorHAnsi" w:hAnsiTheme="minorHAnsi" w:cstheme="minorHAnsi"/>
          <w:sz w:val="22"/>
          <w:szCs w:val="22"/>
          <w:lang w:val="en-GB"/>
        </w:rPr>
        <w:t>cultural threat (</w:t>
      </w:r>
      <w:r w:rsidRPr="0092002E">
        <w:rPr>
          <w:rFonts w:asciiTheme="minorHAnsi" w:hAnsiTheme="minorHAnsi" w:cstheme="minorHAnsi"/>
          <w:sz w:val="22"/>
          <w:szCs w:val="22"/>
          <w:lang w:val="en-GB"/>
        </w:rPr>
        <w:t xml:space="preserve">Schlipphak 2022). Still, </w:t>
      </w:r>
      <w:r w:rsidR="00C60A00" w:rsidRPr="0092002E">
        <w:rPr>
          <w:rFonts w:asciiTheme="minorHAnsi" w:hAnsiTheme="minorHAnsi" w:cstheme="minorHAnsi"/>
          <w:sz w:val="22"/>
          <w:szCs w:val="22"/>
          <w:lang w:val="en-GB"/>
        </w:rPr>
        <w:t xml:space="preserve">more systematic research is needed to study </w:t>
      </w:r>
      <w:r w:rsidRPr="0092002E">
        <w:rPr>
          <w:rFonts w:asciiTheme="minorHAnsi" w:hAnsiTheme="minorHAnsi" w:cstheme="minorHAnsi"/>
          <w:sz w:val="22"/>
          <w:szCs w:val="22"/>
          <w:lang w:val="en-GB"/>
        </w:rPr>
        <w:t xml:space="preserve">political </w:t>
      </w:r>
      <w:r w:rsidR="00C60A00" w:rsidRPr="0092002E">
        <w:rPr>
          <w:rFonts w:asciiTheme="minorHAnsi" w:hAnsiTheme="minorHAnsi" w:cstheme="minorHAnsi"/>
          <w:sz w:val="22"/>
          <w:szCs w:val="22"/>
          <w:lang w:val="en-GB"/>
        </w:rPr>
        <w:t>trust</w:t>
      </w:r>
      <w:r w:rsidRPr="0092002E">
        <w:rPr>
          <w:rFonts w:asciiTheme="minorHAnsi" w:hAnsiTheme="minorHAnsi" w:cstheme="minorHAnsi"/>
          <w:sz w:val="22"/>
          <w:szCs w:val="22"/>
          <w:lang w:val="en-GB"/>
        </w:rPr>
        <w:t xml:space="preserve"> as a determinant of risk perceptions, a possible mechanism to cope with uncertainty</w:t>
      </w:r>
      <w:r w:rsidR="00C60A00" w:rsidRPr="0092002E">
        <w:rPr>
          <w:rFonts w:asciiTheme="minorHAnsi" w:hAnsiTheme="minorHAnsi" w:cstheme="minorHAnsi"/>
          <w:sz w:val="22"/>
          <w:szCs w:val="22"/>
          <w:lang w:val="en-GB"/>
        </w:rPr>
        <w:t>, that would entail both</w:t>
      </w:r>
      <w:r w:rsidRPr="0092002E">
        <w:rPr>
          <w:rFonts w:asciiTheme="minorHAnsi" w:hAnsiTheme="minorHAnsi" w:cstheme="minorHAnsi"/>
          <w:sz w:val="22"/>
          <w:szCs w:val="22"/>
          <w:lang w:val="en-GB"/>
        </w:rPr>
        <w:t xml:space="preserve"> longitudinal and experimental designs</w:t>
      </w:r>
      <w:r w:rsidR="00C60A00" w:rsidRPr="0092002E">
        <w:rPr>
          <w:rFonts w:asciiTheme="minorHAnsi" w:hAnsiTheme="minorHAnsi" w:cstheme="minorHAnsi"/>
          <w:sz w:val="22"/>
          <w:szCs w:val="22"/>
          <w:lang w:val="en-GB"/>
        </w:rPr>
        <w:t xml:space="preserve">. </w:t>
      </w:r>
    </w:p>
    <w:p w14:paraId="1D4BDCAC" w14:textId="025D8057" w:rsidR="003D3625" w:rsidRPr="0092002E" w:rsidRDefault="003D3625" w:rsidP="00D57927">
      <w:pPr>
        <w:rPr>
          <w:rFonts w:asciiTheme="minorHAnsi" w:hAnsiTheme="minorHAnsi" w:cstheme="minorHAnsi"/>
          <w:sz w:val="22"/>
          <w:szCs w:val="22"/>
          <w:lang w:val="en-GB"/>
        </w:rPr>
      </w:pPr>
    </w:p>
    <w:p w14:paraId="1A61AFAB" w14:textId="5BE3BD2D" w:rsidR="00E70696" w:rsidRPr="0092002E" w:rsidRDefault="005F5F8E" w:rsidP="00E94710">
      <w:pPr>
        <w:rPr>
          <w:rFonts w:asciiTheme="minorHAnsi" w:hAnsiTheme="minorHAnsi" w:cstheme="minorHAnsi"/>
          <w:i/>
          <w:iCs/>
          <w:sz w:val="22"/>
          <w:szCs w:val="22"/>
          <w:lang w:val="en-GB"/>
        </w:rPr>
      </w:pPr>
      <w:r>
        <w:rPr>
          <w:rFonts w:asciiTheme="minorHAnsi" w:hAnsiTheme="minorHAnsi" w:cstheme="minorHAnsi"/>
          <w:i/>
          <w:iCs/>
          <w:sz w:val="22"/>
          <w:szCs w:val="22"/>
          <w:lang w:val="en-GB"/>
        </w:rPr>
        <w:t>Better specifying the theory that p</w:t>
      </w:r>
      <w:r w:rsidR="00E94710" w:rsidRPr="0092002E">
        <w:rPr>
          <w:rFonts w:asciiTheme="minorHAnsi" w:hAnsiTheme="minorHAnsi" w:cstheme="minorHAnsi"/>
          <w:i/>
          <w:iCs/>
          <w:sz w:val="22"/>
          <w:szCs w:val="22"/>
          <w:lang w:val="en-GB"/>
        </w:rPr>
        <w:t xml:space="preserve">olitical </w:t>
      </w:r>
      <w:r>
        <w:rPr>
          <w:rFonts w:asciiTheme="minorHAnsi" w:hAnsiTheme="minorHAnsi" w:cstheme="minorHAnsi"/>
          <w:i/>
          <w:iCs/>
          <w:sz w:val="22"/>
          <w:szCs w:val="22"/>
          <w:lang w:val="en-GB"/>
        </w:rPr>
        <w:t>trust shapes policy attitudes as a heuristic</w:t>
      </w:r>
    </w:p>
    <w:p w14:paraId="13EB83BC" w14:textId="77777777" w:rsidR="00E94710" w:rsidRPr="0092002E" w:rsidRDefault="00E94710" w:rsidP="00E94710">
      <w:pPr>
        <w:rPr>
          <w:rFonts w:asciiTheme="minorHAnsi" w:hAnsiTheme="minorHAnsi" w:cstheme="minorHAnsi"/>
          <w:sz w:val="22"/>
          <w:szCs w:val="22"/>
          <w:lang w:val="en-GB"/>
        </w:rPr>
      </w:pPr>
    </w:p>
    <w:p w14:paraId="11477820" w14:textId="450ACB79" w:rsidR="00E70696" w:rsidRPr="0092002E" w:rsidRDefault="0069307E" w:rsidP="00D57927">
      <w:pPr>
        <w:rPr>
          <w:rFonts w:asciiTheme="minorHAnsi" w:hAnsiTheme="minorHAnsi" w:cstheme="minorHAnsi"/>
          <w:sz w:val="22"/>
          <w:szCs w:val="22"/>
          <w:lang w:val="en-GB"/>
        </w:rPr>
      </w:pPr>
      <w:r w:rsidRPr="0092002E">
        <w:rPr>
          <w:rFonts w:asciiTheme="minorHAnsi" w:hAnsiTheme="minorHAnsi" w:cstheme="minorHAnsi"/>
          <w:sz w:val="22"/>
          <w:szCs w:val="22"/>
          <w:lang w:val="en-GB"/>
        </w:rPr>
        <w:t>Many studies have suggested that differences in individuals' attitudes towards many kinds of public policies reflect their variable levels of political trust. For recent examples, see Garritzmann et al. (202</w:t>
      </w:r>
      <w:r w:rsidR="00643F21" w:rsidRPr="0092002E">
        <w:rPr>
          <w:rFonts w:asciiTheme="minorHAnsi" w:hAnsiTheme="minorHAnsi" w:cstheme="minorHAnsi"/>
          <w:sz w:val="22"/>
          <w:szCs w:val="22"/>
          <w:lang w:val="en-GB"/>
        </w:rPr>
        <w:t>3</w:t>
      </w:r>
      <w:r w:rsidRPr="0092002E">
        <w:rPr>
          <w:rFonts w:asciiTheme="minorHAnsi" w:hAnsiTheme="minorHAnsi" w:cstheme="minorHAnsi"/>
          <w:sz w:val="22"/>
          <w:szCs w:val="22"/>
          <w:lang w:val="en-GB"/>
        </w:rPr>
        <w:t xml:space="preserve">) and Goubin and Kumlin (2022) on attitudes towards welfare states, or Fairbrother et al. (2021) on attitudes towards climate policies. But what, theoretically, is the reason that political trust shapes policy attitudes? The most influential explanation, in this regard, is that political trust acts as a "heuristic", in the sense of informational shortcut, or simple decision rule. While influential, </w:t>
      </w:r>
      <w:r w:rsidRPr="0092002E">
        <w:rPr>
          <w:rFonts w:asciiTheme="minorHAnsi" w:hAnsiTheme="minorHAnsi" w:cstheme="minorHAnsi"/>
          <w:sz w:val="22"/>
          <w:szCs w:val="22"/>
          <w:lang w:val="en-GB"/>
        </w:rPr>
        <w:lastRenderedPageBreak/>
        <w:t>however, the theory that political trust shapes policy attitudes as a heuristic is as yet unclear, if not contradictory</w:t>
      </w:r>
      <w:r w:rsidR="00F41339">
        <w:rPr>
          <w:rFonts w:asciiTheme="minorHAnsi" w:hAnsiTheme="minorHAnsi" w:cstheme="minorHAnsi"/>
          <w:sz w:val="22"/>
          <w:szCs w:val="22"/>
          <w:lang w:val="en-GB"/>
        </w:rPr>
        <w:t>,</w:t>
      </w:r>
      <w:r w:rsidRPr="0092002E">
        <w:rPr>
          <w:rFonts w:asciiTheme="minorHAnsi" w:hAnsiTheme="minorHAnsi" w:cstheme="minorHAnsi"/>
          <w:sz w:val="22"/>
          <w:szCs w:val="22"/>
          <w:lang w:val="en-GB"/>
        </w:rPr>
        <w:t xml:space="preserve"> insofar as scholars have invoked it in ways that are inconsistent.</w:t>
      </w:r>
    </w:p>
    <w:p w14:paraId="3812A5FB" w14:textId="6B42B62D" w:rsidR="00E05C66" w:rsidRDefault="005F5F8E" w:rsidP="00DD7445">
      <w:pPr>
        <w:ind w:firstLine="708"/>
        <w:rPr>
          <w:rFonts w:asciiTheme="minorHAnsi" w:hAnsiTheme="minorHAnsi" w:cstheme="minorHAnsi"/>
          <w:sz w:val="22"/>
          <w:szCs w:val="22"/>
          <w:lang w:val="en-GB"/>
        </w:rPr>
      </w:pPr>
      <w:r>
        <w:rPr>
          <w:rFonts w:asciiTheme="minorHAnsi" w:hAnsiTheme="minorHAnsi" w:cstheme="minorHAnsi"/>
          <w:sz w:val="22"/>
          <w:szCs w:val="22"/>
          <w:lang w:val="en-GB"/>
        </w:rPr>
        <w:t xml:space="preserve">First, on the one hand, the </w:t>
      </w:r>
      <w:r w:rsidR="008E03B7" w:rsidRPr="008E03B7">
        <w:rPr>
          <w:rFonts w:asciiTheme="minorHAnsi" w:hAnsiTheme="minorHAnsi" w:cstheme="minorHAnsi"/>
          <w:sz w:val="22"/>
          <w:szCs w:val="22"/>
          <w:lang w:val="en-GB"/>
        </w:rPr>
        <w:t xml:space="preserve">literature suggests that political trust acts as a heuristic </w:t>
      </w:r>
      <w:r w:rsidR="008E03B7" w:rsidRPr="0092002E">
        <w:rPr>
          <w:rFonts w:asciiTheme="minorHAnsi" w:hAnsiTheme="minorHAnsi" w:cstheme="minorHAnsi"/>
          <w:sz w:val="22"/>
          <w:szCs w:val="22"/>
          <w:lang w:val="en-GB"/>
        </w:rPr>
        <w:t xml:space="preserve">in </w:t>
      </w:r>
      <w:r w:rsidR="008E03B7" w:rsidRPr="008E03B7">
        <w:rPr>
          <w:rFonts w:asciiTheme="minorHAnsi" w:hAnsiTheme="minorHAnsi" w:cstheme="minorHAnsi"/>
          <w:sz w:val="22"/>
          <w:szCs w:val="22"/>
          <w:lang w:val="en-GB"/>
        </w:rPr>
        <w:t>that</w:t>
      </w:r>
      <w:r w:rsidR="00C5576B">
        <w:rPr>
          <w:rFonts w:asciiTheme="minorHAnsi" w:hAnsiTheme="minorHAnsi" w:cstheme="minorHAnsi"/>
          <w:sz w:val="22"/>
          <w:szCs w:val="22"/>
          <w:lang w:val="en-GB"/>
        </w:rPr>
        <w:t xml:space="preserve"> people who trust a given </w:t>
      </w:r>
      <w:r w:rsidR="008E03B7" w:rsidRPr="008E03B7">
        <w:rPr>
          <w:rFonts w:asciiTheme="minorHAnsi" w:hAnsiTheme="minorHAnsi" w:cstheme="minorHAnsi"/>
          <w:sz w:val="22"/>
          <w:szCs w:val="22"/>
          <w:lang w:val="en-GB"/>
        </w:rPr>
        <w:t>messenger</w:t>
      </w:r>
      <w:r w:rsidR="00C5576B">
        <w:rPr>
          <w:rFonts w:asciiTheme="minorHAnsi" w:hAnsiTheme="minorHAnsi" w:cstheme="minorHAnsi"/>
          <w:sz w:val="22"/>
          <w:szCs w:val="22"/>
          <w:lang w:val="en-GB"/>
        </w:rPr>
        <w:t xml:space="preserve"> are likelier to trust a given </w:t>
      </w:r>
      <w:r w:rsidR="008E03B7" w:rsidRPr="008E03B7">
        <w:rPr>
          <w:rFonts w:asciiTheme="minorHAnsi" w:hAnsiTheme="minorHAnsi" w:cstheme="minorHAnsi"/>
          <w:sz w:val="22"/>
          <w:szCs w:val="22"/>
          <w:lang w:val="en-GB"/>
        </w:rPr>
        <w:t>message</w:t>
      </w:r>
      <w:r w:rsidR="005C3E4C">
        <w:rPr>
          <w:rFonts w:asciiTheme="minorHAnsi" w:hAnsiTheme="minorHAnsi" w:cstheme="minorHAnsi"/>
          <w:sz w:val="22"/>
          <w:szCs w:val="22"/>
          <w:lang w:val="en-GB"/>
        </w:rPr>
        <w:t xml:space="preserve">. That is, </w:t>
      </w:r>
      <w:r w:rsidR="00807BB5">
        <w:rPr>
          <w:rFonts w:asciiTheme="minorHAnsi" w:hAnsiTheme="minorHAnsi" w:cstheme="minorHAnsi"/>
          <w:sz w:val="22"/>
          <w:szCs w:val="22"/>
          <w:lang w:val="en-GB"/>
        </w:rPr>
        <w:t xml:space="preserve">it is </w:t>
      </w:r>
      <w:r w:rsidR="005C3E4C">
        <w:rPr>
          <w:rFonts w:asciiTheme="minorHAnsi" w:hAnsiTheme="minorHAnsi" w:cstheme="minorHAnsi"/>
          <w:sz w:val="22"/>
          <w:szCs w:val="22"/>
          <w:lang w:val="en-GB"/>
        </w:rPr>
        <w:t>trust</w:t>
      </w:r>
      <w:r w:rsidR="00807BB5">
        <w:rPr>
          <w:rFonts w:asciiTheme="minorHAnsi" w:hAnsiTheme="minorHAnsi" w:cstheme="minorHAnsi"/>
          <w:sz w:val="22"/>
          <w:szCs w:val="22"/>
          <w:lang w:val="en-GB"/>
        </w:rPr>
        <w:t xml:space="preserve"> in </w:t>
      </w:r>
      <w:r w:rsidR="005C3E4C">
        <w:rPr>
          <w:rFonts w:asciiTheme="minorHAnsi" w:hAnsiTheme="minorHAnsi" w:cstheme="minorHAnsi"/>
          <w:sz w:val="22"/>
          <w:szCs w:val="22"/>
          <w:lang w:val="en-GB"/>
        </w:rPr>
        <w:t xml:space="preserve">the advocates of a policy </w:t>
      </w:r>
      <w:r w:rsidR="00807BB5">
        <w:rPr>
          <w:rFonts w:asciiTheme="minorHAnsi" w:hAnsiTheme="minorHAnsi" w:cstheme="minorHAnsi"/>
          <w:sz w:val="22"/>
          <w:szCs w:val="22"/>
          <w:lang w:val="en-GB"/>
        </w:rPr>
        <w:t xml:space="preserve">that </w:t>
      </w:r>
      <w:r w:rsidR="005C3E4C">
        <w:rPr>
          <w:rFonts w:asciiTheme="minorHAnsi" w:hAnsiTheme="minorHAnsi" w:cstheme="minorHAnsi"/>
          <w:sz w:val="22"/>
          <w:szCs w:val="22"/>
          <w:lang w:val="en-GB"/>
        </w:rPr>
        <w:t xml:space="preserve">leads to </w:t>
      </w:r>
      <w:r w:rsidR="00807BB5">
        <w:rPr>
          <w:rFonts w:asciiTheme="minorHAnsi" w:hAnsiTheme="minorHAnsi" w:cstheme="minorHAnsi"/>
          <w:sz w:val="22"/>
          <w:szCs w:val="22"/>
          <w:lang w:val="en-GB"/>
        </w:rPr>
        <w:t xml:space="preserve">public </w:t>
      </w:r>
      <w:r w:rsidR="005C3E4C">
        <w:rPr>
          <w:rFonts w:asciiTheme="minorHAnsi" w:hAnsiTheme="minorHAnsi" w:cstheme="minorHAnsi"/>
          <w:sz w:val="22"/>
          <w:szCs w:val="22"/>
          <w:lang w:val="en-GB"/>
        </w:rPr>
        <w:t xml:space="preserve">support for that policy. </w:t>
      </w:r>
      <w:r w:rsidR="00E05C66">
        <w:rPr>
          <w:rFonts w:asciiTheme="minorHAnsi" w:hAnsiTheme="minorHAnsi" w:cstheme="minorHAnsi"/>
          <w:sz w:val="22"/>
          <w:szCs w:val="22"/>
          <w:lang w:val="en-GB"/>
        </w:rPr>
        <w:t xml:space="preserve">Second, however, </w:t>
      </w:r>
      <w:r w:rsidR="00E05C66" w:rsidRPr="0092002E">
        <w:rPr>
          <w:rFonts w:asciiTheme="minorHAnsi" w:hAnsiTheme="minorHAnsi" w:cstheme="minorHAnsi"/>
          <w:sz w:val="22"/>
          <w:szCs w:val="22"/>
          <w:lang w:val="en-GB"/>
        </w:rPr>
        <w:t xml:space="preserve">the literature also emphasizes </w:t>
      </w:r>
      <w:r w:rsidR="00E05C66" w:rsidRPr="008E03B7">
        <w:rPr>
          <w:rFonts w:asciiTheme="minorHAnsi" w:hAnsiTheme="minorHAnsi" w:cstheme="minorHAnsi"/>
          <w:sz w:val="22"/>
          <w:szCs w:val="22"/>
          <w:lang w:val="en-GB"/>
        </w:rPr>
        <w:t xml:space="preserve">that political trust is </w:t>
      </w:r>
      <w:r w:rsidR="00E05C66">
        <w:rPr>
          <w:rFonts w:asciiTheme="minorHAnsi" w:hAnsiTheme="minorHAnsi" w:cstheme="minorHAnsi"/>
          <w:sz w:val="22"/>
          <w:szCs w:val="22"/>
          <w:lang w:val="en-GB"/>
        </w:rPr>
        <w:t xml:space="preserve">specifically </w:t>
      </w:r>
      <w:r w:rsidR="00E05C66" w:rsidRPr="008E03B7">
        <w:rPr>
          <w:rFonts w:asciiTheme="minorHAnsi" w:hAnsiTheme="minorHAnsi" w:cstheme="minorHAnsi"/>
          <w:sz w:val="22"/>
          <w:szCs w:val="22"/>
          <w:lang w:val="en-GB"/>
        </w:rPr>
        <w:t xml:space="preserve">relevant for </w:t>
      </w:r>
      <w:r w:rsidR="00E05C66">
        <w:rPr>
          <w:rFonts w:asciiTheme="minorHAnsi" w:hAnsiTheme="minorHAnsi" w:cstheme="minorHAnsi"/>
          <w:sz w:val="22"/>
          <w:szCs w:val="22"/>
          <w:lang w:val="en-GB"/>
        </w:rPr>
        <w:t xml:space="preserve">an individual’s </w:t>
      </w:r>
      <w:r w:rsidR="00E05C66" w:rsidRPr="008E03B7">
        <w:rPr>
          <w:rFonts w:asciiTheme="minorHAnsi" w:hAnsiTheme="minorHAnsi" w:cstheme="minorHAnsi"/>
          <w:sz w:val="22"/>
          <w:szCs w:val="22"/>
          <w:lang w:val="en-GB"/>
        </w:rPr>
        <w:t>attitudes toward policies that entail a risk to them</w:t>
      </w:r>
      <w:r w:rsidR="00E05C66">
        <w:rPr>
          <w:rFonts w:asciiTheme="minorHAnsi" w:hAnsiTheme="minorHAnsi" w:cstheme="minorHAnsi"/>
          <w:sz w:val="22"/>
          <w:szCs w:val="22"/>
          <w:lang w:val="en-GB"/>
        </w:rPr>
        <w:t>, and/or a sacrifice</w:t>
      </w:r>
      <w:r w:rsidR="00EE6CF2">
        <w:rPr>
          <w:rFonts w:asciiTheme="minorHAnsi" w:hAnsiTheme="minorHAnsi" w:cstheme="minorHAnsi"/>
          <w:sz w:val="22"/>
          <w:szCs w:val="22"/>
          <w:lang w:val="en-GB"/>
        </w:rPr>
        <w:t xml:space="preserve"> </w:t>
      </w:r>
      <w:r w:rsidR="00EE6CF2" w:rsidRPr="0092002E">
        <w:rPr>
          <w:rFonts w:asciiTheme="minorHAnsi" w:hAnsiTheme="minorHAnsi" w:cstheme="minorHAnsi"/>
          <w:sz w:val="22"/>
          <w:szCs w:val="22"/>
          <w:lang w:val="en-GB"/>
        </w:rPr>
        <w:t xml:space="preserve">(e.g., </w:t>
      </w:r>
      <w:r w:rsidR="00EE6CF2" w:rsidRPr="008E03B7">
        <w:rPr>
          <w:rFonts w:asciiTheme="minorHAnsi" w:hAnsiTheme="minorHAnsi" w:cstheme="minorHAnsi"/>
          <w:sz w:val="22"/>
          <w:szCs w:val="22"/>
          <w:lang w:val="en-GB"/>
        </w:rPr>
        <w:t>Rudolph 2017)</w:t>
      </w:r>
      <w:r w:rsidR="00E05C66" w:rsidRPr="0092002E">
        <w:rPr>
          <w:rFonts w:asciiTheme="minorHAnsi" w:hAnsiTheme="minorHAnsi" w:cstheme="minorHAnsi"/>
          <w:sz w:val="22"/>
          <w:szCs w:val="22"/>
          <w:lang w:val="en-GB"/>
        </w:rPr>
        <w:t>.</w:t>
      </w:r>
      <w:r w:rsidR="00E05C66">
        <w:rPr>
          <w:rFonts w:asciiTheme="minorHAnsi" w:hAnsiTheme="minorHAnsi" w:cstheme="minorHAnsi"/>
          <w:sz w:val="22"/>
          <w:szCs w:val="22"/>
          <w:lang w:val="en-GB"/>
        </w:rPr>
        <w:t xml:space="preserve"> And third, some studies have suggested that the heuristic, rather, applies to the state as a set of agencies and institutions, and people’s overall and/or specific confidence in those agencies and institutions. </w:t>
      </w:r>
      <w:r w:rsidR="00E05C66" w:rsidRPr="0092002E">
        <w:rPr>
          <w:rFonts w:asciiTheme="minorHAnsi" w:hAnsiTheme="minorHAnsi" w:cstheme="minorHAnsi"/>
          <w:sz w:val="22"/>
          <w:szCs w:val="22"/>
          <w:lang w:val="en-GB"/>
        </w:rPr>
        <w:t xml:space="preserve">Here “political trust” is about </w:t>
      </w:r>
      <w:r w:rsidR="00E05C66">
        <w:rPr>
          <w:rFonts w:asciiTheme="minorHAnsi" w:hAnsiTheme="minorHAnsi" w:cstheme="minorHAnsi"/>
          <w:sz w:val="22"/>
          <w:szCs w:val="22"/>
          <w:lang w:val="en-GB"/>
        </w:rPr>
        <w:t>beliefs</w:t>
      </w:r>
      <w:r w:rsidR="00E05C66" w:rsidRPr="0092002E">
        <w:rPr>
          <w:rFonts w:asciiTheme="minorHAnsi" w:hAnsiTheme="minorHAnsi" w:cstheme="minorHAnsi"/>
          <w:sz w:val="22"/>
          <w:szCs w:val="22"/>
          <w:lang w:val="en-GB"/>
        </w:rPr>
        <w:t xml:space="preserve"> in the state</w:t>
      </w:r>
      <w:r w:rsidR="00E05C66">
        <w:rPr>
          <w:rFonts w:asciiTheme="minorHAnsi" w:hAnsiTheme="minorHAnsi" w:cstheme="minorHAnsi"/>
          <w:sz w:val="22"/>
          <w:szCs w:val="22"/>
          <w:lang w:val="en-GB"/>
        </w:rPr>
        <w:t>’s capacity</w:t>
      </w:r>
      <w:r w:rsidR="00E05C66" w:rsidRPr="0092002E">
        <w:rPr>
          <w:rFonts w:asciiTheme="minorHAnsi" w:hAnsiTheme="minorHAnsi" w:cstheme="minorHAnsi"/>
          <w:sz w:val="22"/>
          <w:szCs w:val="22"/>
          <w:lang w:val="en-GB"/>
        </w:rPr>
        <w:t xml:space="preserve"> to administer policies effectively</w:t>
      </w:r>
      <w:r w:rsidR="00E05C66">
        <w:rPr>
          <w:rFonts w:asciiTheme="minorHAnsi" w:hAnsiTheme="minorHAnsi" w:cstheme="minorHAnsi"/>
          <w:sz w:val="22"/>
          <w:szCs w:val="22"/>
          <w:lang w:val="en-GB"/>
        </w:rPr>
        <w:t xml:space="preserve">—the </w:t>
      </w:r>
      <w:r w:rsidR="00E05C66" w:rsidRPr="008E03B7">
        <w:rPr>
          <w:rFonts w:asciiTheme="minorHAnsi" w:hAnsiTheme="minorHAnsi" w:cstheme="minorHAnsi"/>
          <w:sz w:val="22"/>
          <w:szCs w:val="22"/>
          <w:lang w:val="en-GB"/>
        </w:rPr>
        <w:t>"delivery system"</w:t>
      </w:r>
      <w:r w:rsidR="00E05C66">
        <w:rPr>
          <w:rFonts w:asciiTheme="minorHAnsi" w:hAnsiTheme="minorHAnsi" w:cstheme="minorHAnsi"/>
          <w:sz w:val="22"/>
          <w:szCs w:val="22"/>
          <w:lang w:val="en-GB"/>
        </w:rPr>
        <w:t>—and what people think about it.</w:t>
      </w:r>
    </w:p>
    <w:p w14:paraId="37DEE2D5" w14:textId="5A7B76B7" w:rsidR="00685697" w:rsidRDefault="00E05C66" w:rsidP="00DD7445">
      <w:pPr>
        <w:ind w:firstLine="708"/>
        <w:rPr>
          <w:rFonts w:asciiTheme="minorHAnsi" w:hAnsiTheme="minorHAnsi" w:cstheme="minorHAnsi"/>
          <w:sz w:val="22"/>
          <w:szCs w:val="22"/>
          <w:lang w:val="en-GB"/>
        </w:rPr>
      </w:pPr>
      <w:r>
        <w:rPr>
          <w:rFonts w:asciiTheme="minorHAnsi" w:hAnsiTheme="minorHAnsi" w:cstheme="minorHAnsi"/>
          <w:sz w:val="22"/>
          <w:szCs w:val="22"/>
          <w:lang w:val="en-GB"/>
        </w:rPr>
        <w:t>These variants are not all contradictory, but they are at least inconsistent. The definition of “sacrifice” has been stretched to a suspiciously broad degree</w:t>
      </w:r>
      <w:r w:rsidR="005C15AE">
        <w:rPr>
          <w:rFonts w:asciiTheme="minorHAnsi" w:hAnsiTheme="minorHAnsi" w:cstheme="minorHAnsi"/>
          <w:sz w:val="22"/>
          <w:szCs w:val="22"/>
          <w:lang w:val="en-GB"/>
        </w:rPr>
        <w:t>, and implies that policy preferences can be surprisingly altruistic</w:t>
      </w:r>
      <w:r>
        <w:rPr>
          <w:rFonts w:asciiTheme="minorHAnsi" w:hAnsiTheme="minorHAnsi" w:cstheme="minorHAnsi"/>
          <w:sz w:val="22"/>
          <w:szCs w:val="22"/>
          <w:lang w:val="en-GB"/>
        </w:rPr>
        <w:t xml:space="preserve">. </w:t>
      </w:r>
      <w:r w:rsidR="005C15AE">
        <w:rPr>
          <w:rFonts w:asciiTheme="minorHAnsi" w:hAnsiTheme="minorHAnsi" w:cstheme="minorHAnsi"/>
          <w:sz w:val="22"/>
          <w:szCs w:val="22"/>
          <w:lang w:val="en-GB"/>
        </w:rPr>
        <w:t xml:space="preserve">Moreover, </w:t>
      </w:r>
      <w:r>
        <w:rPr>
          <w:rFonts w:asciiTheme="minorHAnsi" w:hAnsiTheme="minorHAnsi" w:cstheme="minorHAnsi"/>
          <w:sz w:val="22"/>
          <w:szCs w:val="22"/>
          <w:lang w:val="en-GB"/>
        </w:rPr>
        <w:t xml:space="preserve">what should we make of </w:t>
      </w:r>
      <w:r w:rsidR="00EE6CF2">
        <w:rPr>
          <w:rFonts w:asciiTheme="minorHAnsi" w:hAnsiTheme="minorHAnsi" w:cstheme="minorHAnsi"/>
          <w:sz w:val="22"/>
          <w:szCs w:val="22"/>
          <w:lang w:val="en-GB"/>
        </w:rPr>
        <w:t>statements</w:t>
      </w:r>
      <w:r>
        <w:rPr>
          <w:rFonts w:asciiTheme="minorHAnsi" w:hAnsiTheme="minorHAnsi" w:cstheme="minorHAnsi"/>
          <w:sz w:val="22"/>
          <w:szCs w:val="22"/>
          <w:lang w:val="en-GB"/>
        </w:rPr>
        <w:t xml:space="preserve"> (such as by American conservatives from </w:t>
      </w:r>
      <w:r w:rsidRPr="0092002E">
        <w:rPr>
          <w:rFonts w:asciiTheme="minorHAnsi" w:hAnsiTheme="minorHAnsi" w:cstheme="minorHAnsi"/>
          <w:sz w:val="22"/>
          <w:szCs w:val="22"/>
          <w:lang w:val="en-GB"/>
        </w:rPr>
        <w:t xml:space="preserve">Ronald Reagan </w:t>
      </w:r>
      <w:r>
        <w:rPr>
          <w:rFonts w:asciiTheme="minorHAnsi" w:hAnsiTheme="minorHAnsi" w:cstheme="minorHAnsi"/>
          <w:sz w:val="22"/>
          <w:szCs w:val="22"/>
          <w:lang w:val="en-GB"/>
        </w:rPr>
        <w:t xml:space="preserve">onwards) that “government is the problem”? </w:t>
      </w:r>
      <w:r w:rsidR="005C15AE">
        <w:rPr>
          <w:rFonts w:asciiTheme="minorHAnsi" w:hAnsiTheme="minorHAnsi" w:cstheme="minorHAnsi"/>
          <w:sz w:val="22"/>
          <w:szCs w:val="22"/>
          <w:lang w:val="en-GB"/>
        </w:rPr>
        <w:t>That is, w</w:t>
      </w:r>
      <w:r>
        <w:rPr>
          <w:rFonts w:asciiTheme="minorHAnsi" w:hAnsiTheme="minorHAnsi" w:cstheme="minorHAnsi"/>
          <w:sz w:val="22"/>
          <w:szCs w:val="22"/>
          <w:lang w:val="en-GB"/>
        </w:rPr>
        <w:t>hat if one trusts a messenger whose message is not to have confidence in public agencies and institutions?</w:t>
      </w:r>
      <w:r w:rsidR="00685697">
        <w:rPr>
          <w:rFonts w:asciiTheme="minorHAnsi" w:hAnsiTheme="minorHAnsi" w:cstheme="minorHAnsi"/>
          <w:sz w:val="22"/>
          <w:szCs w:val="22"/>
          <w:lang w:val="en-GB"/>
        </w:rPr>
        <w:t xml:space="preserve"> For example, analyses of surveys during the Covid-19 pandemic found that </w:t>
      </w:r>
      <w:r w:rsidR="00685697" w:rsidRPr="00685697">
        <w:rPr>
          <w:rFonts w:asciiTheme="minorHAnsi" w:hAnsiTheme="minorHAnsi" w:cstheme="minorHAnsi"/>
          <w:sz w:val="22"/>
          <w:szCs w:val="22"/>
          <w:lang w:val="en-US"/>
        </w:rPr>
        <w:t>trust</w:t>
      </w:r>
      <w:r w:rsidR="00685697">
        <w:rPr>
          <w:rFonts w:asciiTheme="minorHAnsi" w:hAnsiTheme="minorHAnsi" w:cstheme="minorHAnsi"/>
          <w:sz w:val="22"/>
          <w:szCs w:val="22"/>
          <w:lang w:val="en-US"/>
        </w:rPr>
        <w:t xml:space="preserve"> </w:t>
      </w:r>
      <w:r w:rsidR="00685697" w:rsidRPr="00685697">
        <w:rPr>
          <w:rFonts w:asciiTheme="minorHAnsi" w:hAnsiTheme="minorHAnsi" w:cstheme="minorHAnsi"/>
          <w:sz w:val="22"/>
          <w:szCs w:val="22"/>
          <w:lang w:val="en-US"/>
        </w:rPr>
        <w:t>had heterogenous effect</w:t>
      </w:r>
      <w:r w:rsidR="00685697">
        <w:rPr>
          <w:rFonts w:asciiTheme="minorHAnsi" w:hAnsiTheme="minorHAnsi" w:cstheme="minorHAnsi"/>
          <w:sz w:val="22"/>
          <w:szCs w:val="22"/>
          <w:lang w:val="en-US"/>
        </w:rPr>
        <w:t>s</w:t>
      </w:r>
      <w:r w:rsidR="00685697" w:rsidRPr="00685697">
        <w:rPr>
          <w:rFonts w:asciiTheme="minorHAnsi" w:hAnsiTheme="minorHAnsi" w:cstheme="minorHAnsi"/>
          <w:sz w:val="22"/>
          <w:szCs w:val="22"/>
          <w:lang w:val="en-US"/>
        </w:rPr>
        <w:t xml:space="preserve"> on </w:t>
      </w:r>
      <w:r w:rsidR="00685697">
        <w:rPr>
          <w:rFonts w:asciiTheme="minorHAnsi" w:hAnsiTheme="minorHAnsi" w:cstheme="minorHAnsi"/>
          <w:sz w:val="22"/>
          <w:szCs w:val="22"/>
          <w:lang w:val="en-US"/>
        </w:rPr>
        <w:t xml:space="preserve">relevant </w:t>
      </w:r>
      <w:r w:rsidR="00685697" w:rsidRPr="00685697">
        <w:rPr>
          <w:rFonts w:asciiTheme="minorHAnsi" w:hAnsiTheme="minorHAnsi" w:cstheme="minorHAnsi"/>
          <w:sz w:val="22"/>
          <w:szCs w:val="22"/>
          <w:lang w:val="en-US"/>
        </w:rPr>
        <w:t xml:space="preserve">outcomes depending on the </w:t>
      </w:r>
      <w:r w:rsidR="00685697">
        <w:rPr>
          <w:rFonts w:asciiTheme="minorHAnsi" w:hAnsiTheme="minorHAnsi" w:cstheme="minorHAnsi"/>
          <w:sz w:val="22"/>
          <w:szCs w:val="22"/>
          <w:lang w:val="en-US"/>
        </w:rPr>
        <w:t xml:space="preserve">specific </w:t>
      </w:r>
      <w:r w:rsidR="00685697" w:rsidRPr="00685697">
        <w:rPr>
          <w:rFonts w:asciiTheme="minorHAnsi" w:hAnsiTheme="minorHAnsi" w:cstheme="minorHAnsi"/>
          <w:sz w:val="22"/>
          <w:szCs w:val="22"/>
          <w:lang w:val="en-US"/>
        </w:rPr>
        <w:t>object of trus</w:t>
      </w:r>
      <w:r w:rsidR="00685697">
        <w:rPr>
          <w:rFonts w:asciiTheme="minorHAnsi" w:hAnsiTheme="minorHAnsi" w:cstheme="minorHAnsi"/>
          <w:sz w:val="22"/>
          <w:szCs w:val="22"/>
          <w:lang w:val="en-US"/>
        </w:rPr>
        <w:t>t.</w:t>
      </w:r>
    </w:p>
    <w:p w14:paraId="195C4FBA" w14:textId="09930DE4" w:rsidR="00807BB5" w:rsidRDefault="00B55637" w:rsidP="00DD7445">
      <w:pPr>
        <w:ind w:firstLine="708"/>
        <w:rPr>
          <w:rFonts w:asciiTheme="minorHAnsi" w:hAnsiTheme="minorHAnsi" w:cstheme="minorHAnsi"/>
          <w:sz w:val="22"/>
          <w:szCs w:val="22"/>
          <w:lang w:val="en-GB"/>
        </w:rPr>
      </w:pPr>
      <w:r>
        <w:rPr>
          <w:rFonts w:asciiTheme="minorHAnsi" w:hAnsiTheme="minorHAnsi" w:cstheme="minorHAnsi"/>
          <w:sz w:val="22"/>
          <w:szCs w:val="22"/>
          <w:lang w:val="en-GB"/>
        </w:rPr>
        <w:t>It would be useful for future research to unpack in more detail tha</w:t>
      </w:r>
      <w:r w:rsidR="00DD7445">
        <w:rPr>
          <w:rFonts w:asciiTheme="minorHAnsi" w:hAnsiTheme="minorHAnsi" w:cstheme="minorHAnsi"/>
          <w:sz w:val="22"/>
          <w:szCs w:val="22"/>
          <w:lang w:val="en-GB"/>
        </w:rPr>
        <w:t>n</w:t>
      </w:r>
      <w:r>
        <w:rPr>
          <w:rFonts w:asciiTheme="minorHAnsi" w:hAnsiTheme="minorHAnsi" w:cstheme="minorHAnsi"/>
          <w:sz w:val="22"/>
          <w:szCs w:val="22"/>
          <w:lang w:val="en-GB"/>
        </w:rPr>
        <w:t xml:space="preserve"> previously what exactly politically trusting and distrusting individuals believe about key political figures in their countries, prominent public institutions, and the likely costs and benefits of policies about which they have strong preferences. Survey experiments could also vary</w:t>
      </w:r>
      <w:r w:rsidR="00E4401E">
        <w:rPr>
          <w:rFonts w:asciiTheme="minorHAnsi" w:hAnsiTheme="minorHAnsi" w:cstheme="minorHAnsi"/>
          <w:sz w:val="22"/>
          <w:szCs w:val="22"/>
          <w:lang w:val="en-GB"/>
        </w:rPr>
        <w:t xml:space="preserve"> the messenger articulating a given message, to see what that does to the views of individuals with different background levels of political trust.</w:t>
      </w:r>
    </w:p>
    <w:p w14:paraId="036A5DFF" w14:textId="77777777" w:rsidR="00807BB5" w:rsidRPr="0092002E" w:rsidRDefault="00807BB5" w:rsidP="00D57927">
      <w:pPr>
        <w:rPr>
          <w:rFonts w:asciiTheme="minorHAnsi" w:hAnsiTheme="minorHAnsi" w:cstheme="minorHAnsi"/>
          <w:sz w:val="22"/>
          <w:szCs w:val="22"/>
          <w:lang w:val="en-GB"/>
        </w:rPr>
      </w:pPr>
    </w:p>
    <w:p w14:paraId="630FE1CE" w14:textId="2D6CAD9A" w:rsidR="00BA10BD" w:rsidRPr="0092002E" w:rsidRDefault="00BA10BD" w:rsidP="00D57927">
      <w:pPr>
        <w:rPr>
          <w:rFonts w:asciiTheme="minorHAnsi" w:hAnsiTheme="minorHAnsi" w:cstheme="minorHAnsi"/>
          <w:sz w:val="22"/>
          <w:szCs w:val="22"/>
          <w:lang w:val="en-GB"/>
        </w:rPr>
      </w:pPr>
    </w:p>
    <w:p w14:paraId="3D4CAFEF" w14:textId="37D404C2" w:rsidR="003D4568" w:rsidRPr="0092002E" w:rsidRDefault="005F5F8E" w:rsidP="00D57927">
      <w:pPr>
        <w:rPr>
          <w:rFonts w:asciiTheme="minorHAnsi" w:hAnsiTheme="minorHAnsi" w:cstheme="minorHAnsi"/>
          <w:i/>
          <w:iCs/>
          <w:sz w:val="22"/>
          <w:szCs w:val="22"/>
          <w:lang w:val="en-GB"/>
        </w:rPr>
      </w:pPr>
      <w:r>
        <w:rPr>
          <w:rFonts w:asciiTheme="minorHAnsi" w:hAnsiTheme="minorHAnsi" w:cstheme="minorHAnsi"/>
          <w:i/>
          <w:iCs/>
          <w:sz w:val="22"/>
          <w:szCs w:val="22"/>
          <w:lang w:val="en-GB"/>
        </w:rPr>
        <w:t>The consequences of political trust for l</w:t>
      </w:r>
      <w:r w:rsidR="00E94710" w:rsidRPr="0092002E">
        <w:rPr>
          <w:rFonts w:asciiTheme="minorHAnsi" w:hAnsiTheme="minorHAnsi" w:cstheme="minorHAnsi"/>
          <w:i/>
          <w:iCs/>
          <w:sz w:val="22"/>
          <w:szCs w:val="22"/>
          <w:lang w:val="en-GB"/>
        </w:rPr>
        <w:t>ong-term policy preferences</w:t>
      </w:r>
      <w:r>
        <w:rPr>
          <w:rFonts w:asciiTheme="minorHAnsi" w:hAnsiTheme="minorHAnsi" w:cstheme="minorHAnsi"/>
          <w:i/>
          <w:iCs/>
          <w:sz w:val="22"/>
          <w:szCs w:val="22"/>
          <w:lang w:val="en-GB"/>
        </w:rPr>
        <w:t>, and views of new institutions</w:t>
      </w:r>
    </w:p>
    <w:p w14:paraId="52A0ED36" w14:textId="77777777" w:rsidR="00E94710" w:rsidRPr="0092002E" w:rsidRDefault="00E94710" w:rsidP="00D57927">
      <w:pPr>
        <w:rPr>
          <w:rFonts w:asciiTheme="minorHAnsi" w:hAnsiTheme="minorHAnsi" w:cstheme="minorHAnsi"/>
          <w:sz w:val="22"/>
          <w:szCs w:val="22"/>
          <w:lang w:val="en-GB"/>
        </w:rPr>
      </w:pPr>
    </w:p>
    <w:p w14:paraId="278CC408" w14:textId="55EBF46E" w:rsidR="00EA6EAF" w:rsidRPr="0092002E" w:rsidRDefault="003D4568" w:rsidP="00D57927">
      <w:pPr>
        <w:rPr>
          <w:rFonts w:asciiTheme="minorHAnsi" w:hAnsiTheme="minorHAnsi" w:cstheme="minorHAnsi"/>
          <w:sz w:val="22"/>
          <w:szCs w:val="22"/>
          <w:lang w:val="en-GB"/>
        </w:rPr>
      </w:pPr>
      <w:r w:rsidRPr="0092002E">
        <w:rPr>
          <w:rFonts w:asciiTheme="minorHAnsi" w:hAnsiTheme="minorHAnsi" w:cstheme="minorHAnsi"/>
          <w:sz w:val="22"/>
          <w:szCs w:val="22"/>
          <w:lang w:val="en-GB"/>
        </w:rPr>
        <w:t xml:space="preserve">A last area in which political trust can be consequential is long-term policy-making. </w:t>
      </w:r>
      <w:r w:rsidR="005E34A8">
        <w:rPr>
          <w:rFonts w:asciiTheme="minorHAnsi" w:hAnsiTheme="minorHAnsi" w:cstheme="minorHAnsi"/>
          <w:sz w:val="22"/>
          <w:szCs w:val="22"/>
          <w:lang w:val="en-GB"/>
        </w:rPr>
        <w:t>Some challenges that g</w:t>
      </w:r>
      <w:r w:rsidRPr="0092002E">
        <w:rPr>
          <w:rFonts w:asciiTheme="minorHAnsi" w:hAnsiTheme="minorHAnsi" w:cstheme="minorHAnsi"/>
          <w:sz w:val="22"/>
          <w:szCs w:val="22"/>
          <w:lang w:val="en-GB"/>
        </w:rPr>
        <w:t xml:space="preserve">overnments </w:t>
      </w:r>
      <w:r w:rsidR="00C51FE5">
        <w:rPr>
          <w:rFonts w:asciiTheme="minorHAnsi" w:hAnsiTheme="minorHAnsi" w:cstheme="minorHAnsi"/>
          <w:sz w:val="22"/>
          <w:szCs w:val="22"/>
          <w:lang w:val="en-GB"/>
        </w:rPr>
        <w:t>need to confront</w:t>
      </w:r>
      <w:r w:rsidR="005E34A8">
        <w:rPr>
          <w:rFonts w:asciiTheme="minorHAnsi" w:hAnsiTheme="minorHAnsi" w:cstheme="minorHAnsi"/>
          <w:sz w:val="22"/>
          <w:szCs w:val="22"/>
          <w:lang w:val="en-GB"/>
        </w:rPr>
        <w:t xml:space="preserve">, like </w:t>
      </w:r>
      <w:r w:rsidRPr="0092002E">
        <w:rPr>
          <w:rFonts w:asciiTheme="minorHAnsi" w:hAnsiTheme="minorHAnsi" w:cstheme="minorHAnsi"/>
          <w:sz w:val="22"/>
          <w:szCs w:val="22"/>
          <w:lang w:val="en-GB"/>
        </w:rPr>
        <w:t>climate change</w:t>
      </w:r>
      <w:r w:rsidR="005E34A8">
        <w:rPr>
          <w:rFonts w:asciiTheme="minorHAnsi" w:hAnsiTheme="minorHAnsi" w:cstheme="minorHAnsi"/>
          <w:sz w:val="22"/>
          <w:szCs w:val="22"/>
          <w:lang w:val="en-GB"/>
        </w:rPr>
        <w:t xml:space="preserve"> and population ageing, </w:t>
      </w:r>
      <w:r w:rsidRPr="0092002E">
        <w:rPr>
          <w:rFonts w:asciiTheme="minorHAnsi" w:hAnsiTheme="minorHAnsi" w:cstheme="minorHAnsi"/>
          <w:sz w:val="22"/>
          <w:szCs w:val="22"/>
          <w:lang w:val="en-GB"/>
        </w:rPr>
        <w:t>requir</w:t>
      </w:r>
      <w:r w:rsidR="005E34A8">
        <w:rPr>
          <w:rFonts w:asciiTheme="minorHAnsi" w:hAnsiTheme="minorHAnsi" w:cstheme="minorHAnsi"/>
          <w:sz w:val="22"/>
          <w:szCs w:val="22"/>
          <w:lang w:val="en-GB"/>
        </w:rPr>
        <w:t>e</w:t>
      </w:r>
      <w:r w:rsidR="00C51FE5">
        <w:rPr>
          <w:rFonts w:asciiTheme="minorHAnsi" w:hAnsiTheme="minorHAnsi" w:cstheme="minorHAnsi"/>
          <w:sz w:val="22"/>
          <w:szCs w:val="22"/>
          <w:lang w:val="en-GB"/>
        </w:rPr>
        <w:t xml:space="preserve"> </w:t>
      </w:r>
      <w:r w:rsidR="004E3551" w:rsidRPr="0092002E">
        <w:rPr>
          <w:rFonts w:asciiTheme="minorHAnsi" w:hAnsiTheme="minorHAnsi" w:cstheme="minorHAnsi"/>
          <w:sz w:val="22"/>
          <w:szCs w:val="22"/>
          <w:lang w:val="en-GB"/>
        </w:rPr>
        <w:t xml:space="preserve">policies that </w:t>
      </w:r>
      <w:r w:rsidR="00C51FE5">
        <w:rPr>
          <w:rFonts w:asciiTheme="minorHAnsi" w:hAnsiTheme="minorHAnsi" w:cstheme="minorHAnsi"/>
          <w:sz w:val="22"/>
          <w:szCs w:val="22"/>
          <w:lang w:val="en-GB"/>
        </w:rPr>
        <w:t xml:space="preserve">will </w:t>
      </w:r>
      <w:r w:rsidR="004E3551" w:rsidRPr="0092002E">
        <w:rPr>
          <w:rFonts w:asciiTheme="minorHAnsi" w:hAnsiTheme="minorHAnsi" w:cstheme="minorHAnsi"/>
          <w:sz w:val="22"/>
          <w:szCs w:val="22"/>
          <w:lang w:val="en-GB"/>
        </w:rPr>
        <w:t xml:space="preserve">impose immediate costs on citizens </w:t>
      </w:r>
      <w:r w:rsidR="00C51FE5">
        <w:rPr>
          <w:rFonts w:asciiTheme="minorHAnsi" w:hAnsiTheme="minorHAnsi" w:cstheme="minorHAnsi"/>
          <w:sz w:val="22"/>
          <w:szCs w:val="22"/>
          <w:lang w:val="en-GB"/>
        </w:rPr>
        <w:t xml:space="preserve">for the sake of </w:t>
      </w:r>
      <w:r w:rsidR="004E3551" w:rsidRPr="0092002E">
        <w:rPr>
          <w:rFonts w:asciiTheme="minorHAnsi" w:hAnsiTheme="minorHAnsi" w:cstheme="minorHAnsi"/>
          <w:sz w:val="22"/>
          <w:szCs w:val="22"/>
          <w:lang w:val="en-GB"/>
        </w:rPr>
        <w:t xml:space="preserve">future policy gains. </w:t>
      </w:r>
      <w:r w:rsidRPr="0092002E">
        <w:rPr>
          <w:rFonts w:asciiTheme="minorHAnsi" w:hAnsiTheme="minorHAnsi" w:cstheme="minorHAnsi"/>
          <w:sz w:val="22"/>
          <w:szCs w:val="22"/>
          <w:lang w:val="en-GB"/>
        </w:rPr>
        <w:t>Yet,</w:t>
      </w:r>
      <w:r w:rsidR="003663C7">
        <w:rPr>
          <w:rFonts w:asciiTheme="minorHAnsi" w:hAnsiTheme="minorHAnsi" w:cstheme="minorHAnsi"/>
          <w:sz w:val="22"/>
          <w:szCs w:val="22"/>
          <w:lang w:val="en-GB"/>
        </w:rPr>
        <w:t xml:space="preserve"> there is reliable empirical evidence that</w:t>
      </w:r>
      <w:r w:rsidRPr="0092002E">
        <w:rPr>
          <w:rFonts w:asciiTheme="minorHAnsi" w:hAnsiTheme="minorHAnsi" w:cstheme="minorHAnsi"/>
          <w:sz w:val="22"/>
          <w:szCs w:val="22"/>
          <w:lang w:val="en-GB"/>
        </w:rPr>
        <w:t xml:space="preserve"> citizens </w:t>
      </w:r>
      <w:r w:rsidR="003663C7">
        <w:rPr>
          <w:rFonts w:asciiTheme="minorHAnsi" w:hAnsiTheme="minorHAnsi" w:cstheme="minorHAnsi"/>
          <w:sz w:val="22"/>
          <w:szCs w:val="22"/>
          <w:lang w:val="en-GB"/>
        </w:rPr>
        <w:t>tend to be</w:t>
      </w:r>
      <w:r w:rsidRPr="0092002E">
        <w:rPr>
          <w:rFonts w:asciiTheme="minorHAnsi" w:hAnsiTheme="minorHAnsi" w:cstheme="minorHAnsi"/>
          <w:sz w:val="22"/>
          <w:szCs w:val="22"/>
          <w:lang w:val="en-GB"/>
        </w:rPr>
        <w:t xml:space="preserve"> myopic</w:t>
      </w:r>
      <w:r w:rsidR="003663C7">
        <w:rPr>
          <w:rFonts w:asciiTheme="minorHAnsi" w:hAnsiTheme="minorHAnsi" w:cstheme="minorHAnsi"/>
          <w:sz w:val="22"/>
          <w:szCs w:val="22"/>
          <w:lang w:val="en-GB"/>
        </w:rPr>
        <w:t xml:space="preserve"> and impatient</w:t>
      </w:r>
      <w:r w:rsidRPr="0092002E">
        <w:rPr>
          <w:rFonts w:asciiTheme="minorHAnsi" w:hAnsiTheme="minorHAnsi" w:cstheme="minorHAnsi"/>
          <w:sz w:val="22"/>
          <w:szCs w:val="22"/>
          <w:lang w:val="en-GB"/>
        </w:rPr>
        <w:t>, having a cognitive bias in favo</w:t>
      </w:r>
      <w:r w:rsidR="009828F0" w:rsidRPr="0092002E">
        <w:rPr>
          <w:rFonts w:asciiTheme="minorHAnsi" w:hAnsiTheme="minorHAnsi" w:cstheme="minorHAnsi"/>
          <w:sz w:val="22"/>
          <w:szCs w:val="22"/>
          <w:lang w:val="en-GB"/>
        </w:rPr>
        <w:t>u</w:t>
      </w:r>
      <w:r w:rsidRPr="0092002E">
        <w:rPr>
          <w:rFonts w:asciiTheme="minorHAnsi" w:hAnsiTheme="minorHAnsi" w:cstheme="minorHAnsi"/>
          <w:sz w:val="22"/>
          <w:szCs w:val="22"/>
          <w:lang w:val="en-GB"/>
        </w:rPr>
        <w:t xml:space="preserve">r of short-term benefits over long-term consequences (Healy </w:t>
      </w:r>
      <w:r w:rsidR="00520359">
        <w:rPr>
          <w:rFonts w:asciiTheme="minorHAnsi" w:hAnsiTheme="minorHAnsi" w:cstheme="minorHAnsi"/>
          <w:sz w:val="22"/>
          <w:szCs w:val="22"/>
          <w:lang w:val="en-GB"/>
        </w:rPr>
        <w:t>and</w:t>
      </w:r>
      <w:r w:rsidRPr="0092002E">
        <w:rPr>
          <w:rFonts w:asciiTheme="minorHAnsi" w:hAnsiTheme="minorHAnsi" w:cstheme="minorHAnsi"/>
          <w:sz w:val="22"/>
          <w:szCs w:val="22"/>
          <w:lang w:val="en-GB"/>
        </w:rPr>
        <w:t xml:space="preserve"> </w:t>
      </w:r>
      <w:r w:rsidR="00807BB5">
        <w:rPr>
          <w:rFonts w:asciiTheme="minorHAnsi" w:hAnsiTheme="minorHAnsi" w:cstheme="minorHAnsi"/>
          <w:sz w:val="22"/>
          <w:szCs w:val="22"/>
          <w:lang w:val="en-GB"/>
        </w:rPr>
        <w:t>Malhotra</w:t>
      </w:r>
      <w:r w:rsidRPr="0092002E">
        <w:rPr>
          <w:rFonts w:asciiTheme="minorHAnsi" w:hAnsiTheme="minorHAnsi" w:cstheme="minorHAnsi"/>
          <w:sz w:val="22"/>
          <w:szCs w:val="22"/>
          <w:lang w:val="en-GB"/>
        </w:rPr>
        <w:t xml:space="preserve"> 2009</w:t>
      </w:r>
      <w:r w:rsidR="003663C7">
        <w:rPr>
          <w:rFonts w:asciiTheme="minorHAnsi" w:hAnsiTheme="minorHAnsi" w:cstheme="minorHAnsi"/>
          <w:sz w:val="22"/>
          <w:szCs w:val="22"/>
          <w:lang w:val="en-GB"/>
        </w:rPr>
        <w:t>, Jacobs and Matthews 2012, Copper et al. 1994</w:t>
      </w:r>
      <w:r w:rsidRPr="0092002E">
        <w:rPr>
          <w:rFonts w:asciiTheme="minorHAnsi" w:hAnsiTheme="minorHAnsi" w:cstheme="minorHAnsi"/>
          <w:sz w:val="22"/>
          <w:szCs w:val="22"/>
          <w:lang w:val="en-GB"/>
        </w:rPr>
        <w:t xml:space="preserve">). Future policy preferences are characterized by uncertainty regarding both processes of long-term policy causation and long-term policy commitments (Jacobs </w:t>
      </w:r>
      <w:r w:rsidR="00F42006" w:rsidRPr="0092002E">
        <w:rPr>
          <w:rFonts w:asciiTheme="minorHAnsi" w:hAnsiTheme="minorHAnsi" w:cstheme="minorHAnsi"/>
          <w:sz w:val="22"/>
          <w:szCs w:val="22"/>
          <w:lang w:val="en-GB"/>
        </w:rPr>
        <w:t>and</w:t>
      </w:r>
      <w:r w:rsidRPr="0092002E">
        <w:rPr>
          <w:rFonts w:asciiTheme="minorHAnsi" w:hAnsiTheme="minorHAnsi" w:cstheme="minorHAnsi"/>
          <w:sz w:val="22"/>
          <w:szCs w:val="22"/>
          <w:lang w:val="en-GB"/>
        </w:rPr>
        <w:t xml:space="preserve"> Matthew</w:t>
      </w:r>
      <w:r w:rsidR="00F42006" w:rsidRPr="0092002E">
        <w:rPr>
          <w:rFonts w:asciiTheme="minorHAnsi" w:hAnsiTheme="minorHAnsi" w:cstheme="minorHAnsi"/>
          <w:sz w:val="22"/>
          <w:szCs w:val="22"/>
          <w:lang w:val="en-GB"/>
        </w:rPr>
        <w:t>s</w:t>
      </w:r>
      <w:r w:rsidRPr="0092002E">
        <w:rPr>
          <w:rFonts w:asciiTheme="minorHAnsi" w:hAnsiTheme="minorHAnsi" w:cstheme="minorHAnsi"/>
          <w:sz w:val="22"/>
          <w:szCs w:val="22"/>
          <w:lang w:val="en-GB"/>
        </w:rPr>
        <w:t xml:space="preserve"> 2012).</w:t>
      </w:r>
      <w:r w:rsidR="003663C7">
        <w:rPr>
          <w:rFonts w:asciiTheme="minorHAnsi" w:hAnsiTheme="minorHAnsi" w:cstheme="minorHAnsi"/>
          <w:sz w:val="22"/>
          <w:szCs w:val="22"/>
          <w:lang w:val="en-GB"/>
        </w:rPr>
        <w:t xml:space="preserve"> In other words</w:t>
      </w:r>
      <w:r w:rsidR="009C0036">
        <w:rPr>
          <w:rFonts w:asciiTheme="minorHAnsi" w:hAnsiTheme="minorHAnsi" w:cstheme="minorHAnsi"/>
          <w:sz w:val="22"/>
          <w:szCs w:val="22"/>
          <w:lang w:val="en-GB"/>
        </w:rPr>
        <w:t>, long-term policy success often depends on prevailing social and economic conditions, as well as the policy commitment of future office holders, which are both currently unknown.</w:t>
      </w:r>
      <w:r w:rsidRPr="0092002E">
        <w:rPr>
          <w:rFonts w:asciiTheme="minorHAnsi" w:hAnsiTheme="minorHAnsi" w:cstheme="minorHAnsi"/>
          <w:sz w:val="22"/>
          <w:szCs w:val="22"/>
          <w:lang w:val="en-GB"/>
        </w:rPr>
        <w:t xml:space="preserve"> </w:t>
      </w:r>
      <w:r w:rsidR="00957917">
        <w:rPr>
          <w:rFonts w:asciiTheme="minorHAnsi" w:hAnsiTheme="minorHAnsi" w:cstheme="minorHAnsi"/>
          <w:sz w:val="22"/>
          <w:szCs w:val="22"/>
          <w:lang w:val="en-GB"/>
        </w:rPr>
        <w:t>P</w:t>
      </w:r>
      <w:r w:rsidRPr="0092002E">
        <w:rPr>
          <w:rFonts w:asciiTheme="minorHAnsi" w:hAnsiTheme="minorHAnsi" w:cstheme="minorHAnsi"/>
          <w:sz w:val="22"/>
          <w:szCs w:val="22"/>
          <w:lang w:val="en-GB"/>
        </w:rPr>
        <w:t>olitical trust can help individuals cope with uncertainty, and make them more likely to “take a leap of faith” when it comes to future policy support.</w:t>
      </w:r>
      <w:r w:rsidR="00FB721A">
        <w:rPr>
          <w:rFonts w:asciiTheme="minorHAnsi" w:hAnsiTheme="minorHAnsi" w:cstheme="minorHAnsi"/>
          <w:sz w:val="22"/>
          <w:szCs w:val="22"/>
          <w:lang w:val="en-GB"/>
        </w:rPr>
        <w:t xml:space="preserve"> (Some versions of the theory of political trust as a heuristic, such as that it is relevant for risk-laden policies, are especially relevant for long-term policy preferences.)</w:t>
      </w:r>
      <w:r w:rsidRPr="0092002E">
        <w:rPr>
          <w:rFonts w:asciiTheme="minorHAnsi" w:hAnsiTheme="minorHAnsi" w:cstheme="minorHAnsi"/>
          <w:sz w:val="22"/>
          <w:szCs w:val="22"/>
          <w:lang w:val="en-GB"/>
        </w:rPr>
        <w:t xml:space="preserve"> As such, political trust lends political leaders greater temporal room to </w:t>
      </w:r>
      <w:r w:rsidR="009B46FF" w:rsidRPr="0092002E">
        <w:rPr>
          <w:rFonts w:asciiTheme="minorHAnsi" w:hAnsiTheme="minorHAnsi" w:cstheme="minorHAnsi"/>
          <w:sz w:val="22"/>
          <w:szCs w:val="22"/>
          <w:lang w:val="en-GB"/>
        </w:rPr>
        <w:t>manoeuvre</w:t>
      </w:r>
      <w:r w:rsidR="009828F0" w:rsidRPr="0092002E">
        <w:rPr>
          <w:rFonts w:asciiTheme="minorHAnsi" w:hAnsiTheme="minorHAnsi" w:cstheme="minorHAnsi"/>
          <w:sz w:val="22"/>
          <w:szCs w:val="22"/>
          <w:lang w:val="en-GB"/>
        </w:rPr>
        <w:t xml:space="preserve"> </w:t>
      </w:r>
      <w:r w:rsidRPr="0092002E">
        <w:rPr>
          <w:rFonts w:asciiTheme="minorHAnsi" w:hAnsiTheme="minorHAnsi" w:cstheme="minorHAnsi"/>
          <w:sz w:val="22"/>
          <w:szCs w:val="22"/>
          <w:lang w:val="en-GB"/>
        </w:rPr>
        <w:t xml:space="preserve">and affects citizens’ willingness to accept short-term sacrifices for (promises of) long-term policy gains. Still, the literature is </w:t>
      </w:r>
      <w:r w:rsidR="006A479C">
        <w:rPr>
          <w:rFonts w:asciiTheme="minorHAnsi" w:hAnsiTheme="minorHAnsi" w:cstheme="minorHAnsi"/>
          <w:sz w:val="22"/>
          <w:szCs w:val="22"/>
          <w:lang w:val="en-GB"/>
        </w:rPr>
        <w:t xml:space="preserve">thus far just beginning to investigate </w:t>
      </w:r>
      <w:r w:rsidRPr="0092002E">
        <w:rPr>
          <w:rFonts w:asciiTheme="minorHAnsi" w:hAnsiTheme="minorHAnsi" w:cstheme="minorHAnsi"/>
          <w:sz w:val="22"/>
          <w:szCs w:val="22"/>
          <w:lang w:val="en-GB"/>
        </w:rPr>
        <w:t xml:space="preserve">the </w:t>
      </w:r>
      <w:r w:rsidR="006A479C">
        <w:rPr>
          <w:rFonts w:asciiTheme="minorHAnsi" w:hAnsiTheme="minorHAnsi" w:cstheme="minorHAnsi"/>
          <w:sz w:val="22"/>
          <w:szCs w:val="22"/>
          <w:lang w:val="en-GB"/>
        </w:rPr>
        <w:t xml:space="preserve">potential influence of </w:t>
      </w:r>
      <w:r w:rsidRPr="0092002E">
        <w:rPr>
          <w:rFonts w:asciiTheme="minorHAnsi" w:hAnsiTheme="minorHAnsi" w:cstheme="minorHAnsi"/>
          <w:sz w:val="22"/>
          <w:szCs w:val="22"/>
          <w:lang w:val="en-GB"/>
        </w:rPr>
        <w:t xml:space="preserve">political trust </w:t>
      </w:r>
      <w:r w:rsidR="006A479C">
        <w:rPr>
          <w:rFonts w:asciiTheme="minorHAnsi" w:hAnsiTheme="minorHAnsi" w:cstheme="minorHAnsi"/>
          <w:sz w:val="22"/>
          <w:szCs w:val="22"/>
          <w:lang w:val="en-GB"/>
        </w:rPr>
        <w:t xml:space="preserve">on </w:t>
      </w:r>
      <w:r w:rsidRPr="0092002E">
        <w:rPr>
          <w:rFonts w:asciiTheme="minorHAnsi" w:hAnsiTheme="minorHAnsi" w:cstheme="minorHAnsi"/>
          <w:sz w:val="22"/>
          <w:szCs w:val="22"/>
          <w:lang w:val="en-GB"/>
        </w:rPr>
        <w:t>long-term policy preferences</w:t>
      </w:r>
      <w:r w:rsidR="0069307E" w:rsidRPr="0092002E">
        <w:rPr>
          <w:rFonts w:asciiTheme="minorHAnsi" w:hAnsiTheme="minorHAnsi" w:cstheme="minorHAnsi"/>
          <w:sz w:val="22"/>
          <w:szCs w:val="22"/>
          <w:lang w:val="en-GB"/>
        </w:rPr>
        <w:t xml:space="preserve">. A number of studies have found </w:t>
      </w:r>
      <w:r w:rsidRPr="0092002E">
        <w:rPr>
          <w:rFonts w:asciiTheme="minorHAnsi" w:hAnsiTheme="minorHAnsi" w:cstheme="minorHAnsi"/>
          <w:sz w:val="22"/>
          <w:szCs w:val="22"/>
          <w:lang w:val="en-GB"/>
        </w:rPr>
        <w:t xml:space="preserve">evidence </w:t>
      </w:r>
      <w:r w:rsidR="0055031F">
        <w:rPr>
          <w:rFonts w:asciiTheme="minorHAnsi" w:hAnsiTheme="minorHAnsi" w:cstheme="minorHAnsi"/>
          <w:sz w:val="22"/>
          <w:szCs w:val="22"/>
          <w:lang w:val="en-GB"/>
        </w:rPr>
        <w:t xml:space="preserve">for a relationship </w:t>
      </w:r>
      <w:r w:rsidRPr="0092002E">
        <w:rPr>
          <w:rFonts w:asciiTheme="minorHAnsi" w:hAnsiTheme="minorHAnsi" w:cstheme="minorHAnsi"/>
          <w:sz w:val="22"/>
          <w:szCs w:val="22"/>
          <w:lang w:val="en-GB"/>
        </w:rPr>
        <w:t xml:space="preserve">(Jacobs </w:t>
      </w:r>
      <w:r w:rsidR="00520359">
        <w:rPr>
          <w:rFonts w:asciiTheme="minorHAnsi" w:hAnsiTheme="minorHAnsi" w:cstheme="minorHAnsi"/>
          <w:sz w:val="22"/>
          <w:szCs w:val="22"/>
          <w:lang w:val="en-GB"/>
        </w:rPr>
        <w:t>and</w:t>
      </w:r>
      <w:r w:rsidRPr="0092002E">
        <w:rPr>
          <w:rFonts w:asciiTheme="minorHAnsi" w:hAnsiTheme="minorHAnsi" w:cstheme="minorHAnsi"/>
          <w:sz w:val="22"/>
          <w:szCs w:val="22"/>
          <w:lang w:val="en-GB"/>
        </w:rPr>
        <w:t xml:space="preserve"> Matthew 2012</w:t>
      </w:r>
      <w:r w:rsidR="00EA6EAF" w:rsidRPr="0092002E">
        <w:rPr>
          <w:rFonts w:asciiTheme="minorHAnsi" w:hAnsiTheme="minorHAnsi" w:cstheme="minorHAnsi"/>
          <w:sz w:val="22"/>
          <w:szCs w:val="22"/>
          <w:lang w:val="en-GB"/>
        </w:rPr>
        <w:t>; Fairbrother et al. 2021</w:t>
      </w:r>
      <w:r w:rsidR="0069307E" w:rsidRPr="0092002E">
        <w:rPr>
          <w:rFonts w:asciiTheme="minorHAnsi" w:hAnsiTheme="minorHAnsi" w:cstheme="minorHAnsi"/>
          <w:sz w:val="22"/>
          <w:szCs w:val="22"/>
          <w:lang w:val="en-GB"/>
        </w:rPr>
        <w:t>; Busemeyer 2023</w:t>
      </w:r>
      <w:r w:rsidRPr="0092002E">
        <w:rPr>
          <w:rFonts w:asciiTheme="minorHAnsi" w:hAnsiTheme="minorHAnsi" w:cstheme="minorHAnsi"/>
          <w:sz w:val="22"/>
          <w:szCs w:val="22"/>
          <w:lang w:val="en-GB"/>
        </w:rPr>
        <w:t>)</w:t>
      </w:r>
      <w:r w:rsidR="0069307E" w:rsidRPr="0092002E">
        <w:rPr>
          <w:rFonts w:asciiTheme="minorHAnsi" w:hAnsiTheme="minorHAnsi" w:cstheme="minorHAnsi"/>
          <w:sz w:val="22"/>
          <w:szCs w:val="22"/>
          <w:lang w:val="en-GB"/>
        </w:rPr>
        <w:t xml:space="preserve">, though with </w:t>
      </w:r>
      <w:r w:rsidR="0055031F">
        <w:rPr>
          <w:rFonts w:asciiTheme="minorHAnsi" w:hAnsiTheme="minorHAnsi" w:cstheme="minorHAnsi"/>
          <w:sz w:val="22"/>
          <w:szCs w:val="22"/>
          <w:lang w:val="en-GB"/>
        </w:rPr>
        <w:t xml:space="preserve">at least one </w:t>
      </w:r>
      <w:r w:rsidR="0069307E" w:rsidRPr="0092002E">
        <w:rPr>
          <w:rFonts w:asciiTheme="minorHAnsi" w:hAnsiTheme="minorHAnsi" w:cstheme="minorHAnsi"/>
          <w:sz w:val="22"/>
          <w:szCs w:val="22"/>
          <w:lang w:val="en-GB"/>
        </w:rPr>
        <w:t>exception (Christensen and Rapeli 2020).</w:t>
      </w:r>
      <w:r w:rsidR="00F07839" w:rsidRPr="00F07839">
        <w:rPr>
          <w:rFonts w:asciiTheme="minorHAnsi" w:hAnsiTheme="minorHAnsi" w:cstheme="minorHAnsi"/>
          <w:sz w:val="22"/>
          <w:szCs w:val="22"/>
          <w:lang w:val="en-GB"/>
        </w:rPr>
        <w:t xml:space="preserve"> </w:t>
      </w:r>
      <w:r w:rsidR="00F07839">
        <w:rPr>
          <w:rFonts w:asciiTheme="minorHAnsi" w:hAnsiTheme="minorHAnsi" w:cstheme="minorHAnsi"/>
          <w:sz w:val="22"/>
          <w:szCs w:val="22"/>
          <w:lang w:val="en-GB"/>
        </w:rPr>
        <w:t>Because political trust has such an impact on long-term policy preferences, laypeople do not discount the future according to expected changes in living standards, as do economists (Fairbrother et al. 2021)</w:t>
      </w:r>
      <w:r w:rsidR="00F07839">
        <w:rPr>
          <w:rFonts w:asciiTheme="minorHAnsi" w:hAnsiTheme="minorHAnsi" w:cstheme="minorHAnsi"/>
          <w:i/>
          <w:iCs/>
          <w:sz w:val="22"/>
          <w:szCs w:val="22"/>
          <w:lang w:val="en-GB"/>
        </w:rPr>
        <w:t>.</w:t>
      </w:r>
    </w:p>
    <w:p w14:paraId="6F9611E1" w14:textId="6BCA8ABF" w:rsidR="00BB28D7" w:rsidRPr="0092002E" w:rsidRDefault="003D4568" w:rsidP="00D57927">
      <w:pPr>
        <w:ind w:firstLine="708"/>
        <w:rPr>
          <w:rFonts w:asciiTheme="minorHAnsi" w:hAnsiTheme="minorHAnsi" w:cstheme="minorHAnsi"/>
          <w:sz w:val="22"/>
          <w:szCs w:val="22"/>
          <w:lang w:val="en-GB"/>
        </w:rPr>
      </w:pPr>
      <w:r w:rsidRPr="0092002E">
        <w:rPr>
          <w:rFonts w:asciiTheme="minorHAnsi" w:hAnsiTheme="minorHAnsi" w:cstheme="minorHAnsi"/>
          <w:sz w:val="22"/>
          <w:szCs w:val="22"/>
          <w:lang w:val="en-GB"/>
        </w:rPr>
        <w:t>A more comprehensive research endeavo</w:t>
      </w:r>
      <w:r w:rsidR="009828F0" w:rsidRPr="0092002E">
        <w:rPr>
          <w:rFonts w:asciiTheme="minorHAnsi" w:hAnsiTheme="minorHAnsi" w:cstheme="minorHAnsi"/>
          <w:sz w:val="22"/>
          <w:szCs w:val="22"/>
          <w:lang w:val="en-GB"/>
        </w:rPr>
        <w:t>u</w:t>
      </w:r>
      <w:r w:rsidRPr="0092002E">
        <w:rPr>
          <w:rFonts w:asciiTheme="minorHAnsi" w:hAnsiTheme="minorHAnsi" w:cstheme="minorHAnsi"/>
          <w:sz w:val="22"/>
          <w:szCs w:val="22"/>
          <w:lang w:val="en-GB"/>
        </w:rPr>
        <w:t>r is required to investigate the role of political trust for long-term policy preferences</w:t>
      </w:r>
      <w:r w:rsidR="00BB28D7" w:rsidRPr="0092002E">
        <w:rPr>
          <w:rFonts w:asciiTheme="minorHAnsi" w:hAnsiTheme="minorHAnsi" w:cstheme="minorHAnsi"/>
          <w:sz w:val="22"/>
          <w:szCs w:val="22"/>
          <w:lang w:val="en-GB"/>
        </w:rPr>
        <w:t xml:space="preserve"> on a wider range of policy areas</w:t>
      </w:r>
      <w:r w:rsidRPr="0092002E">
        <w:rPr>
          <w:rFonts w:asciiTheme="minorHAnsi" w:hAnsiTheme="minorHAnsi" w:cstheme="minorHAnsi"/>
          <w:sz w:val="22"/>
          <w:szCs w:val="22"/>
          <w:lang w:val="en-GB"/>
        </w:rPr>
        <w:t>. Such an endeavo</w:t>
      </w:r>
      <w:r w:rsidR="009828F0" w:rsidRPr="0092002E">
        <w:rPr>
          <w:rFonts w:asciiTheme="minorHAnsi" w:hAnsiTheme="minorHAnsi" w:cstheme="minorHAnsi"/>
          <w:sz w:val="22"/>
          <w:szCs w:val="22"/>
          <w:lang w:val="en-GB"/>
        </w:rPr>
        <w:t>u</w:t>
      </w:r>
      <w:r w:rsidRPr="0092002E">
        <w:rPr>
          <w:rFonts w:asciiTheme="minorHAnsi" w:hAnsiTheme="minorHAnsi" w:cstheme="minorHAnsi"/>
          <w:sz w:val="22"/>
          <w:szCs w:val="22"/>
          <w:lang w:val="en-GB"/>
        </w:rPr>
        <w:t>r would investigate the conditions under which political trust affects individual-level trade-offs in temporal policy preferences</w:t>
      </w:r>
      <w:r w:rsidR="004E3551" w:rsidRPr="0092002E">
        <w:rPr>
          <w:rFonts w:asciiTheme="minorHAnsi" w:hAnsiTheme="minorHAnsi" w:cstheme="minorHAnsi"/>
          <w:sz w:val="22"/>
          <w:szCs w:val="22"/>
          <w:lang w:val="en-GB"/>
        </w:rPr>
        <w:t xml:space="preserve"> by diminishing the role of uncertainty. </w:t>
      </w:r>
      <w:r w:rsidRPr="0092002E">
        <w:rPr>
          <w:rFonts w:asciiTheme="minorHAnsi" w:hAnsiTheme="minorHAnsi" w:cstheme="minorHAnsi"/>
          <w:sz w:val="22"/>
          <w:szCs w:val="22"/>
          <w:lang w:val="en-GB"/>
        </w:rPr>
        <w:t xml:space="preserve">More specifically, it would consider </w:t>
      </w:r>
      <w:r w:rsidR="004E3551" w:rsidRPr="0092002E">
        <w:rPr>
          <w:rFonts w:asciiTheme="minorHAnsi" w:hAnsiTheme="minorHAnsi" w:cstheme="minorHAnsi"/>
          <w:sz w:val="22"/>
          <w:szCs w:val="22"/>
          <w:lang w:val="en-GB"/>
        </w:rPr>
        <w:t xml:space="preserve">(at </w:t>
      </w:r>
      <w:r w:rsidR="004E3551" w:rsidRPr="0092002E">
        <w:rPr>
          <w:rFonts w:asciiTheme="minorHAnsi" w:hAnsiTheme="minorHAnsi" w:cstheme="minorHAnsi"/>
          <w:sz w:val="22"/>
          <w:szCs w:val="22"/>
          <w:lang w:val="en-GB"/>
        </w:rPr>
        <w:lastRenderedPageBreak/>
        <w:t>least) t</w:t>
      </w:r>
      <w:r w:rsidR="00BB28D7" w:rsidRPr="0092002E">
        <w:rPr>
          <w:rFonts w:asciiTheme="minorHAnsi" w:hAnsiTheme="minorHAnsi" w:cstheme="minorHAnsi"/>
          <w:sz w:val="22"/>
          <w:szCs w:val="22"/>
          <w:lang w:val="en-GB"/>
        </w:rPr>
        <w:t xml:space="preserve">wo </w:t>
      </w:r>
      <w:r w:rsidRPr="0092002E">
        <w:rPr>
          <w:rFonts w:asciiTheme="minorHAnsi" w:hAnsiTheme="minorHAnsi" w:cstheme="minorHAnsi"/>
          <w:sz w:val="22"/>
          <w:szCs w:val="22"/>
          <w:lang w:val="en-GB"/>
        </w:rPr>
        <w:t xml:space="preserve">types of factors. First, it should encompass </w:t>
      </w:r>
      <w:r w:rsidRPr="0092002E">
        <w:rPr>
          <w:rFonts w:asciiTheme="minorHAnsi" w:hAnsiTheme="minorHAnsi" w:cstheme="minorHAnsi"/>
          <w:i/>
          <w:iCs/>
          <w:sz w:val="22"/>
          <w:szCs w:val="22"/>
          <w:lang w:val="en-GB"/>
        </w:rPr>
        <w:t>a wide spectrum of political trust objects</w:t>
      </w:r>
      <w:r w:rsidR="004E3551" w:rsidRPr="0092002E">
        <w:rPr>
          <w:rFonts w:asciiTheme="minorHAnsi" w:hAnsiTheme="minorHAnsi" w:cstheme="minorHAnsi"/>
          <w:i/>
          <w:iCs/>
          <w:sz w:val="22"/>
          <w:szCs w:val="22"/>
          <w:lang w:val="en-GB"/>
        </w:rPr>
        <w:t xml:space="preserve">, </w:t>
      </w:r>
      <w:r w:rsidR="004E3551" w:rsidRPr="0092002E">
        <w:rPr>
          <w:rFonts w:asciiTheme="minorHAnsi" w:hAnsiTheme="minorHAnsi" w:cstheme="minorHAnsi"/>
          <w:sz w:val="22"/>
          <w:szCs w:val="22"/>
          <w:lang w:val="en-GB"/>
        </w:rPr>
        <w:t xml:space="preserve">both horizontally and vertically. </w:t>
      </w:r>
      <w:r w:rsidR="004A79E6">
        <w:rPr>
          <w:rFonts w:asciiTheme="minorHAnsi" w:hAnsiTheme="minorHAnsi" w:cstheme="minorHAnsi"/>
          <w:sz w:val="22"/>
          <w:szCs w:val="22"/>
          <w:lang w:val="en-GB"/>
        </w:rPr>
        <w:t xml:space="preserve">This would range from </w:t>
      </w:r>
      <w:r w:rsidR="00EC7ABE" w:rsidRPr="0092002E">
        <w:rPr>
          <w:rFonts w:asciiTheme="minorHAnsi" w:hAnsiTheme="minorHAnsi" w:cstheme="minorHAnsi"/>
          <w:sz w:val="22"/>
          <w:szCs w:val="22"/>
          <w:lang w:val="en-GB"/>
        </w:rPr>
        <w:t xml:space="preserve">incumbent </w:t>
      </w:r>
      <w:r w:rsidR="004E3551" w:rsidRPr="0092002E">
        <w:rPr>
          <w:rFonts w:asciiTheme="minorHAnsi" w:hAnsiTheme="minorHAnsi" w:cstheme="minorHAnsi"/>
          <w:sz w:val="22"/>
          <w:szCs w:val="22"/>
          <w:lang w:val="en-GB"/>
        </w:rPr>
        <w:t>office holders</w:t>
      </w:r>
      <w:r w:rsidR="004A79E6">
        <w:rPr>
          <w:rFonts w:asciiTheme="minorHAnsi" w:hAnsiTheme="minorHAnsi" w:cstheme="minorHAnsi"/>
          <w:sz w:val="22"/>
          <w:szCs w:val="22"/>
          <w:lang w:val="en-GB"/>
        </w:rPr>
        <w:t xml:space="preserve"> (</w:t>
      </w:r>
      <w:r w:rsidR="004A79E6" w:rsidRPr="0092002E">
        <w:rPr>
          <w:rFonts w:asciiTheme="minorHAnsi" w:hAnsiTheme="minorHAnsi" w:cstheme="minorHAnsi"/>
          <w:sz w:val="22"/>
          <w:szCs w:val="22"/>
          <w:lang w:val="en-GB"/>
        </w:rPr>
        <w:t>legislators</w:t>
      </w:r>
      <w:r w:rsidR="004A79E6">
        <w:rPr>
          <w:rFonts w:asciiTheme="minorHAnsi" w:hAnsiTheme="minorHAnsi" w:cstheme="minorHAnsi"/>
          <w:sz w:val="22"/>
          <w:szCs w:val="22"/>
          <w:lang w:val="en-GB"/>
        </w:rPr>
        <w:t xml:space="preserve">, </w:t>
      </w:r>
      <w:r w:rsidR="00EC7ABE" w:rsidRPr="0092002E">
        <w:rPr>
          <w:rFonts w:asciiTheme="minorHAnsi" w:hAnsiTheme="minorHAnsi" w:cstheme="minorHAnsi"/>
          <w:sz w:val="22"/>
          <w:szCs w:val="22"/>
          <w:lang w:val="en-GB"/>
        </w:rPr>
        <w:t>party leaders</w:t>
      </w:r>
      <w:r w:rsidR="004A79E6">
        <w:rPr>
          <w:rFonts w:asciiTheme="minorHAnsi" w:hAnsiTheme="minorHAnsi" w:cstheme="minorHAnsi"/>
          <w:sz w:val="22"/>
          <w:szCs w:val="22"/>
          <w:lang w:val="en-GB"/>
        </w:rPr>
        <w:t>,</w:t>
      </w:r>
      <w:r w:rsidR="00EC7ABE" w:rsidRPr="0092002E">
        <w:rPr>
          <w:rFonts w:asciiTheme="minorHAnsi" w:hAnsiTheme="minorHAnsi" w:cstheme="minorHAnsi"/>
          <w:sz w:val="22"/>
          <w:szCs w:val="22"/>
          <w:lang w:val="en-GB"/>
        </w:rPr>
        <w:t xml:space="preserve"> public officials</w:t>
      </w:r>
      <w:r w:rsidR="004A79E6">
        <w:rPr>
          <w:rFonts w:asciiTheme="minorHAnsi" w:hAnsiTheme="minorHAnsi" w:cstheme="minorHAnsi"/>
          <w:sz w:val="22"/>
          <w:szCs w:val="22"/>
          <w:lang w:val="en-GB"/>
        </w:rPr>
        <w:t xml:space="preserve">); </w:t>
      </w:r>
      <w:r w:rsidR="00EC7ABE" w:rsidRPr="0092002E">
        <w:rPr>
          <w:rFonts w:asciiTheme="minorHAnsi" w:hAnsiTheme="minorHAnsi" w:cstheme="minorHAnsi"/>
          <w:sz w:val="22"/>
          <w:szCs w:val="22"/>
          <w:lang w:val="en-GB"/>
        </w:rPr>
        <w:t>core institutions of liberal democracy</w:t>
      </w:r>
      <w:r w:rsidR="004A79E6">
        <w:rPr>
          <w:rFonts w:asciiTheme="minorHAnsi" w:hAnsiTheme="minorHAnsi" w:cstheme="minorHAnsi"/>
          <w:sz w:val="22"/>
          <w:szCs w:val="22"/>
          <w:lang w:val="en-GB"/>
        </w:rPr>
        <w:t xml:space="preserve"> and modern states (</w:t>
      </w:r>
      <w:r w:rsidR="00EC7ABE" w:rsidRPr="0092002E">
        <w:rPr>
          <w:rFonts w:asciiTheme="minorHAnsi" w:hAnsiTheme="minorHAnsi" w:cstheme="minorHAnsi"/>
          <w:sz w:val="22"/>
          <w:szCs w:val="22"/>
          <w:lang w:val="en-GB"/>
        </w:rPr>
        <w:t>parliament, government</w:t>
      </w:r>
      <w:r w:rsidR="004A79E6">
        <w:rPr>
          <w:rFonts w:asciiTheme="minorHAnsi" w:hAnsiTheme="minorHAnsi" w:cstheme="minorHAnsi"/>
          <w:sz w:val="22"/>
          <w:szCs w:val="22"/>
          <w:lang w:val="en-GB"/>
        </w:rPr>
        <w:t xml:space="preserve">, </w:t>
      </w:r>
      <w:r w:rsidR="00EC7ABE" w:rsidRPr="0092002E">
        <w:rPr>
          <w:rFonts w:asciiTheme="minorHAnsi" w:hAnsiTheme="minorHAnsi" w:cstheme="minorHAnsi"/>
          <w:sz w:val="22"/>
          <w:szCs w:val="22"/>
          <w:lang w:val="en-GB"/>
        </w:rPr>
        <w:t>justice system</w:t>
      </w:r>
      <w:r w:rsidR="004A79E6">
        <w:rPr>
          <w:rFonts w:asciiTheme="minorHAnsi" w:hAnsiTheme="minorHAnsi" w:cstheme="minorHAnsi"/>
          <w:sz w:val="22"/>
          <w:szCs w:val="22"/>
          <w:lang w:val="en-GB"/>
        </w:rPr>
        <w:t xml:space="preserve">, </w:t>
      </w:r>
      <w:r w:rsidR="00EC7ABE" w:rsidRPr="0092002E">
        <w:rPr>
          <w:rFonts w:asciiTheme="minorHAnsi" w:hAnsiTheme="minorHAnsi" w:cstheme="minorHAnsi"/>
          <w:sz w:val="22"/>
          <w:szCs w:val="22"/>
          <w:lang w:val="en-GB"/>
        </w:rPr>
        <w:t>civil service, police</w:t>
      </w:r>
      <w:r w:rsidR="004A79E6">
        <w:rPr>
          <w:rFonts w:asciiTheme="minorHAnsi" w:hAnsiTheme="minorHAnsi" w:cstheme="minorHAnsi"/>
          <w:sz w:val="22"/>
          <w:szCs w:val="22"/>
          <w:lang w:val="en-GB"/>
        </w:rPr>
        <w:t>,</w:t>
      </w:r>
      <w:r w:rsidR="00EC7ABE" w:rsidRPr="0092002E">
        <w:rPr>
          <w:rFonts w:asciiTheme="minorHAnsi" w:hAnsiTheme="minorHAnsi" w:cstheme="minorHAnsi"/>
          <w:sz w:val="22"/>
          <w:szCs w:val="22"/>
          <w:lang w:val="en-GB"/>
        </w:rPr>
        <w:t xml:space="preserve"> military</w:t>
      </w:r>
      <w:r w:rsidR="004A79E6">
        <w:rPr>
          <w:rFonts w:asciiTheme="minorHAnsi" w:hAnsiTheme="minorHAnsi" w:cstheme="minorHAnsi"/>
          <w:sz w:val="22"/>
          <w:szCs w:val="22"/>
          <w:lang w:val="en-GB"/>
        </w:rPr>
        <w:t xml:space="preserve">); and </w:t>
      </w:r>
      <w:r w:rsidR="00EC7ABE" w:rsidRPr="0092002E">
        <w:rPr>
          <w:rFonts w:asciiTheme="minorHAnsi" w:hAnsiTheme="minorHAnsi" w:cstheme="minorHAnsi"/>
          <w:sz w:val="22"/>
          <w:szCs w:val="22"/>
          <w:lang w:val="en-GB"/>
        </w:rPr>
        <w:t xml:space="preserve">democracy as a whole </w:t>
      </w:r>
      <w:r w:rsidR="004E3551" w:rsidRPr="0092002E">
        <w:rPr>
          <w:rFonts w:asciiTheme="minorHAnsi" w:hAnsiTheme="minorHAnsi" w:cstheme="minorHAnsi"/>
          <w:sz w:val="22"/>
          <w:szCs w:val="22"/>
          <w:lang w:val="en-GB"/>
        </w:rPr>
        <w:t xml:space="preserve">(Norris </w:t>
      </w:r>
      <w:r w:rsidR="00EC7ABE" w:rsidRPr="0092002E">
        <w:rPr>
          <w:rFonts w:asciiTheme="minorHAnsi" w:hAnsiTheme="minorHAnsi" w:cstheme="minorHAnsi"/>
          <w:sz w:val="22"/>
          <w:szCs w:val="22"/>
          <w:lang w:val="en-GB"/>
        </w:rPr>
        <w:t>2017</w:t>
      </w:r>
      <w:r w:rsidR="004E3551" w:rsidRPr="0092002E">
        <w:rPr>
          <w:rFonts w:asciiTheme="minorHAnsi" w:hAnsiTheme="minorHAnsi" w:cstheme="minorHAnsi"/>
          <w:sz w:val="22"/>
          <w:szCs w:val="22"/>
          <w:lang w:val="en-GB"/>
        </w:rPr>
        <w:t>). Vertically, one should also consider trust in</w:t>
      </w:r>
      <w:r w:rsidRPr="0092002E">
        <w:rPr>
          <w:rFonts w:asciiTheme="minorHAnsi" w:hAnsiTheme="minorHAnsi" w:cstheme="minorHAnsi"/>
          <w:sz w:val="22"/>
          <w:szCs w:val="22"/>
          <w:lang w:val="en-GB"/>
        </w:rPr>
        <w:t xml:space="preserve"> </w:t>
      </w:r>
      <w:r w:rsidRPr="0092002E">
        <w:rPr>
          <w:rFonts w:asciiTheme="minorHAnsi" w:hAnsiTheme="minorHAnsi" w:cstheme="minorHAnsi"/>
          <w:i/>
          <w:iCs/>
          <w:sz w:val="22"/>
          <w:szCs w:val="22"/>
          <w:lang w:val="en-GB"/>
        </w:rPr>
        <w:t xml:space="preserve">various levels of governments and institutions, </w:t>
      </w:r>
      <w:r w:rsidRPr="0092002E">
        <w:rPr>
          <w:rFonts w:asciiTheme="minorHAnsi" w:hAnsiTheme="minorHAnsi" w:cstheme="minorHAnsi"/>
          <w:sz w:val="22"/>
          <w:szCs w:val="22"/>
          <w:lang w:val="en-GB"/>
        </w:rPr>
        <w:t>including local, national</w:t>
      </w:r>
      <w:r w:rsidR="00E70965">
        <w:rPr>
          <w:rFonts w:asciiTheme="minorHAnsi" w:hAnsiTheme="minorHAnsi" w:cstheme="minorHAnsi"/>
          <w:sz w:val="22"/>
          <w:szCs w:val="22"/>
          <w:lang w:val="en-GB"/>
        </w:rPr>
        <w:t>,</w:t>
      </w:r>
      <w:r w:rsidRPr="0092002E">
        <w:rPr>
          <w:rFonts w:asciiTheme="minorHAnsi" w:hAnsiTheme="minorHAnsi" w:cstheme="minorHAnsi"/>
          <w:sz w:val="22"/>
          <w:szCs w:val="22"/>
          <w:lang w:val="en-GB"/>
        </w:rPr>
        <w:t xml:space="preserve"> and </w:t>
      </w:r>
      <w:r w:rsidR="00EC7ABE" w:rsidRPr="0092002E">
        <w:rPr>
          <w:rFonts w:asciiTheme="minorHAnsi" w:hAnsiTheme="minorHAnsi" w:cstheme="minorHAnsi"/>
          <w:sz w:val="22"/>
          <w:szCs w:val="22"/>
          <w:lang w:val="en-GB"/>
        </w:rPr>
        <w:t>international institutions (</w:t>
      </w:r>
      <w:r w:rsidR="00054F77">
        <w:rPr>
          <w:rFonts w:asciiTheme="minorHAnsi" w:hAnsiTheme="minorHAnsi" w:cstheme="minorHAnsi"/>
          <w:sz w:val="22"/>
          <w:szCs w:val="22"/>
          <w:lang w:val="en-GB"/>
        </w:rPr>
        <w:t>such as</w:t>
      </w:r>
      <w:r w:rsidR="00EC7ABE" w:rsidRPr="0092002E">
        <w:rPr>
          <w:rFonts w:asciiTheme="minorHAnsi" w:hAnsiTheme="minorHAnsi" w:cstheme="minorHAnsi"/>
          <w:sz w:val="22"/>
          <w:szCs w:val="22"/>
          <w:lang w:val="en-GB"/>
        </w:rPr>
        <w:t xml:space="preserve"> the EU)</w:t>
      </w:r>
      <w:r w:rsidRPr="0092002E">
        <w:rPr>
          <w:rFonts w:asciiTheme="minorHAnsi" w:hAnsiTheme="minorHAnsi" w:cstheme="minorHAnsi"/>
          <w:sz w:val="22"/>
          <w:szCs w:val="22"/>
          <w:lang w:val="en-GB"/>
        </w:rPr>
        <w:t xml:space="preserve">. </w:t>
      </w:r>
      <w:r w:rsidR="00EC7ABE" w:rsidRPr="0092002E">
        <w:rPr>
          <w:rFonts w:asciiTheme="minorHAnsi" w:hAnsiTheme="minorHAnsi" w:cstheme="minorHAnsi"/>
          <w:sz w:val="22"/>
          <w:szCs w:val="22"/>
          <w:lang w:val="en-GB"/>
        </w:rPr>
        <w:t xml:space="preserve">It may well be the case that citizens’ willingness to support long term policies depends on who </w:t>
      </w:r>
      <w:r w:rsidR="00E70965">
        <w:rPr>
          <w:rFonts w:asciiTheme="minorHAnsi" w:hAnsiTheme="minorHAnsi" w:cstheme="minorHAnsi"/>
          <w:sz w:val="22"/>
          <w:szCs w:val="22"/>
          <w:lang w:val="en-GB"/>
        </w:rPr>
        <w:t xml:space="preserve">might be </w:t>
      </w:r>
      <w:r w:rsidR="00EC7ABE" w:rsidRPr="0092002E">
        <w:rPr>
          <w:rFonts w:asciiTheme="minorHAnsi" w:hAnsiTheme="minorHAnsi" w:cstheme="minorHAnsi"/>
          <w:sz w:val="22"/>
          <w:szCs w:val="22"/>
          <w:lang w:val="en-GB"/>
        </w:rPr>
        <w:t xml:space="preserve">responsible </w:t>
      </w:r>
      <w:r w:rsidR="00E70965">
        <w:rPr>
          <w:rFonts w:asciiTheme="minorHAnsi" w:hAnsiTheme="minorHAnsi" w:cstheme="minorHAnsi"/>
          <w:sz w:val="22"/>
          <w:szCs w:val="22"/>
          <w:lang w:val="en-GB"/>
        </w:rPr>
        <w:t>for designing and/or implementing those policies.</w:t>
      </w:r>
    </w:p>
    <w:p w14:paraId="1ADAAA92" w14:textId="53752C8B" w:rsidR="00BB28D7" w:rsidRDefault="00EC7ABE" w:rsidP="000A4DB1">
      <w:pPr>
        <w:ind w:firstLine="708"/>
        <w:rPr>
          <w:rFonts w:asciiTheme="minorHAnsi" w:hAnsiTheme="minorHAnsi" w:cstheme="minorHAnsi"/>
          <w:sz w:val="22"/>
          <w:szCs w:val="22"/>
          <w:lang w:val="en-GB"/>
        </w:rPr>
      </w:pPr>
      <w:r w:rsidRPr="0092002E">
        <w:rPr>
          <w:rFonts w:asciiTheme="minorHAnsi" w:hAnsiTheme="minorHAnsi" w:cstheme="minorHAnsi"/>
          <w:sz w:val="22"/>
          <w:szCs w:val="22"/>
          <w:lang w:val="en-GB"/>
        </w:rPr>
        <w:t xml:space="preserve">Second, it should allow for individual-level heterogeneity in the ability of political trust to overcome uncertainty </w:t>
      </w:r>
      <w:r w:rsidR="00BB28D7" w:rsidRPr="0092002E">
        <w:rPr>
          <w:rFonts w:asciiTheme="minorHAnsi" w:hAnsiTheme="minorHAnsi" w:cstheme="minorHAnsi"/>
          <w:sz w:val="22"/>
          <w:szCs w:val="22"/>
          <w:lang w:val="en-GB"/>
        </w:rPr>
        <w:t xml:space="preserve">for </w:t>
      </w:r>
      <w:r w:rsidRPr="0092002E">
        <w:rPr>
          <w:rFonts w:asciiTheme="minorHAnsi" w:hAnsiTheme="minorHAnsi" w:cstheme="minorHAnsi"/>
          <w:sz w:val="22"/>
          <w:szCs w:val="22"/>
          <w:lang w:val="en-GB"/>
        </w:rPr>
        <w:t xml:space="preserve">future policy preferences. </w:t>
      </w:r>
      <w:r w:rsidR="009C0036">
        <w:rPr>
          <w:rFonts w:asciiTheme="minorHAnsi" w:hAnsiTheme="minorHAnsi" w:cstheme="minorHAnsi"/>
          <w:sz w:val="22"/>
          <w:szCs w:val="22"/>
          <w:lang w:val="en-GB"/>
        </w:rPr>
        <w:t xml:space="preserve">In practice, this would mean that the role of political trust in shaping one’s </w:t>
      </w:r>
      <w:r w:rsidR="00830547">
        <w:rPr>
          <w:rFonts w:asciiTheme="minorHAnsi" w:hAnsiTheme="minorHAnsi" w:cstheme="minorHAnsi"/>
          <w:sz w:val="22"/>
          <w:szCs w:val="22"/>
          <w:lang w:val="en-GB"/>
        </w:rPr>
        <w:t xml:space="preserve">long-term </w:t>
      </w:r>
      <w:r w:rsidR="009C0036">
        <w:rPr>
          <w:rFonts w:asciiTheme="minorHAnsi" w:hAnsiTheme="minorHAnsi" w:cstheme="minorHAnsi"/>
          <w:sz w:val="22"/>
          <w:szCs w:val="22"/>
          <w:lang w:val="en-GB"/>
        </w:rPr>
        <w:t>policy preferences will vary across individuals and context</w:t>
      </w:r>
      <w:r w:rsidR="007F0FD7">
        <w:rPr>
          <w:rFonts w:asciiTheme="minorHAnsi" w:hAnsiTheme="minorHAnsi" w:cstheme="minorHAnsi"/>
          <w:sz w:val="22"/>
          <w:szCs w:val="22"/>
          <w:lang w:val="en-GB"/>
        </w:rPr>
        <w:t>s</w:t>
      </w:r>
      <w:r w:rsidR="009C0036">
        <w:rPr>
          <w:rFonts w:asciiTheme="minorHAnsi" w:hAnsiTheme="minorHAnsi" w:cstheme="minorHAnsi"/>
          <w:sz w:val="22"/>
          <w:szCs w:val="22"/>
          <w:lang w:val="en-GB"/>
        </w:rPr>
        <w:t xml:space="preserve">, conditional on, for example, one’s personal economic situation </w:t>
      </w:r>
      <w:r w:rsidR="00830547">
        <w:rPr>
          <w:rFonts w:asciiTheme="minorHAnsi" w:hAnsiTheme="minorHAnsi" w:cstheme="minorHAnsi"/>
          <w:sz w:val="22"/>
          <w:szCs w:val="22"/>
          <w:lang w:val="en-GB"/>
        </w:rPr>
        <w:t>or the (personal) salience of a</w:t>
      </w:r>
      <w:r w:rsidR="007F0FD7">
        <w:rPr>
          <w:rFonts w:asciiTheme="minorHAnsi" w:hAnsiTheme="minorHAnsi" w:cstheme="minorHAnsi"/>
          <w:sz w:val="22"/>
          <w:szCs w:val="22"/>
          <w:lang w:val="en-GB"/>
        </w:rPr>
        <w:t xml:space="preserve"> policy</w:t>
      </w:r>
      <w:r w:rsidR="00830547">
        <w:rPr>
          <w:rFonts w:asciiTheme="minorHAnsi" w:hAnsiTheme="minorHAnsi" w:cstheme="minorHAnsi"/>
          <w:sz w:val="22"/>
          <w:szCs w:val="22"/>
          <w:lang w:val="en-GB"/>
        </w:rPr>
        <w:t xml:space="preserve"> issue</w:t>
      </w:r>
      <w:r w:rsidR="009C0036">
        <w:rPr>
          <w:rFonts w:asciiTheme="minorHAnsi" w:hAnsiTheme="minorHAnsi" w:cstheme="minorHAnsi"/>
          <w:sz w:val="22"/>
          <w:szCs w:val="22"/>
          <w:lang w:val="en-GB"/>
        </w:rPr>
        <w:t xml:space="preserve">. </w:t>
      </w:r>
      <w:r w:rsidR="005F5F8E">
        <w:rPr>
          <w:rFonts w:asciiTheme="minorHAnsi" w:hAnsiTheme="minorHAnsi" w:cstheme="minorHAnsi"/>
          <w:sz w:val="22"/>
          <w:szCs w:val="22"/>
          <w:lang w:val="en-GB"/>
        </w:rPr>
        <w:t>C</w:t>
      </w:r>
      <w:r w:rsidR="005F5F8E" w:rsidRPr="0092002E">
        <w:rPr>
          <w:rFonts w:asciiTheme="minorHAnsi" w:hAnsiTheme="minorHAnsi" w:cstheme="minorHAnsi"/>
          <w:sz w:val="22"/>
          <w:szCs w:val="22"/>
          <w:lang w:val="en-GB"/>
        </w:rPr>
        <w:t>ognitive science research</w:t>
      </w:r>
      <w:r w:rsidR="005F5F8E">
        <w:rPr>
          <w:rFonts w:asciiTheme="minorHAnsi" w:hAnsiTheme="minorHAnsi" w:cstheme="minorHAnsi"/>
          <w:sz w:val="22"/>
          <w:szCs w:val="22"/>
          <w:lang w:val="en-GB"/>
        </w:rPr>
        <w:t xml:space="preserve"> suggests that a</w:t>
      </w:r>
      <w:r w:rsidR="00BB28D7" w:rsidRPr="0092002E">
        <w:rPr>
          <w:rFonts w:asciiTheme="minorHAnsi" w:hAnsiTheme="minorHAnsi" w:cstheme="minorHAnsi"/>
          <w:sz w:val="22"/>
          <w:szCs w:val="22"/>
          <w:lang w:val="en-GB"/>
        </w:rPr>
        <w:t xml:space="preserve"> scarcity of resources </w:t>
      </w:r>
      <w:r w:rsidR="005F5F8E">
        <w:rPr>
          <w:rFonts w:asciiTheme="minorHAnsi" w:hAnsiTheme="minorHAnsi" w:cstheme="minorHAnsi"/>
          <w:sz w:val="22"/>
          <w:szCs w:val="22"/>
          <w:lang w:val="en-GB"/>
        </w:rPr>
        <w:t xml:space="preserve">can limit people’s </w:t>
      </w:r>
      <w:r w:rsidR="00BB28D7" w:rsidRPr="0092002E">
        <w:rPr>
          <w:rFonts w:asciiTheme="minorHAnsi" w:hAnsiTheme="minorHAnsi" w:cstheme="minorHAnsi"/>
          <w:sz w:val="22"/>
          <w:szCs w:val="22"/>
          <w:lang w:val="en-GB"/>
        </w:rPr>
        <w:t xml:space="preserve">attention </w:t>
      </w:r>
      <w:r w:rsidR="005F5F8E">
        <w:rPr>
          <w:rFonts w:asciiTheme="minorHAnsi" w:hAnsiTheme="minorHAnsi" w:cstheme="minorHAnsi"/>
          <w:sz w:val="22"/>
          <w:szCs w:val="22"/>
          <w:lang w:val="en-GB"/>
        </w:rPr>
        <w:t xml:space="preserve">to more </w:t>
      </w:r>
      <w:r w:rsidR="00BB28D7" w:rsidRPr="0092002E">
        <w:rPr>
          <w:rFonts w:asciiTheme="minorHAnsi" w:hAnsiTheme="minorHAnsi" w:cstheme="minorHAnsi"/>
          <w:sz w:val="22"/>
          <w:szCs w:val="22"/>
          <w:lang w:val="en-GB"/>
        </w:rPr>
        <w:t>immediate concerns</w:t>
      </w:r>
      <w:r w:rsidR="005F5F8E">
        <w:rPr>
          <w:rFonts w:asciiTheme="minorHAnsi" w:hAnsiTheme="minorHAnsi" w:cstheme="minorHAnsi"/>
          <w:sz w:val="22"/>
          <w:szCs w:val="22"/>
          <w:lang w:val="en-GB"/>
        </w:rPr>
        <w:t xml:space="preserve">, making them </w:t>
      </w:r>
      <w:r w:rsidR="00BB28D7" w:rsidRPr="0092002E">
        <w:rPr>
          <w:rFonts w:asciiTheme="minorHAnsi" w:hAnsiTheme="minorHAnsi" w:cstheme="minorHAnsi"/>
          <w:sz w:val="22"/>
          <w:szCs w:val="22"/>
          <w:lang w:val="en-GB"/>
        </w:rPr>
        <w:t>impatien</w:t>
      </w:r>
      <w:r w:rsidR="005F5F8E">
        <w:rPr>
          <w:rFonts w:asciiTheme="minorHAnsi" w:hAnsiTheme="minorHAnsi" w:cstheme="minorHAnsi"/>
          <w:sz w:val="22"/>
          <w:szCs w:val="22"/>
          <w:lang w:val="en-GB"/>
        </w:rPr>
        <w:t>t</w:t>
      </w:r>
      <w:r w:rsidR="00BB28D7" w:rsidRPr="0092002E">
        <w:rPr>
          <w:rFonts w:asciiTheme="minorHAnsi" w:hAnsiTheme="minorHAnsi" w:cstheme="minorHAnsi"/>
          <w:sz w:val="22"/>
          <w:szCs w:val="22"/>
          <w:lang w:val="en-GB"/>
        </w:rPr>
        <w:t xml:space="preserve"> and impulsive</w:t>
      </w:r>
      <w:r w:rsidR="005F5F8E">
        <w:rPr>
          <w:rFonts w:asciiTheme="minorHAnsi" w:hAnsiTheme="minorHAnsi" w:cstheme="minorHAnsi"/>
          <w:sz w:val="22"/>
          <w:szCs w:val="22"/>
          <w:lang w:val="en-GB"/>
        </w:rPr>
        <w:t xml:space="preserve">, and less able </w:t>
      </w:r>
      <w:r w:rsidR="00BB28D7" w:rsidRPr="0092002E">
        <w:rPr>
          <w:rFonts w:asciiTheme="minorHAnsi" w:hAnsiTheme="minorHAnsi" w:cstheme="minorHAnsi"/>
          <w:sz w:val="22"/>
          <w:szCs w:val="22"/>
          <w:lang w:val="en-GB"/>
        </w:rPr>
        <w:t>to set long-term goals</w:t>
      </w:r>
      <w:r w:rsidR="00AA41BC" w:rsidRPr="0092002E">
        <w:rPr>
          <w:rFonts w:asciiTheme="minorHAnsi" w:hAnsiTheme="minorHAnsi" w:cstheme="minorHAnsi"/>
          <w:sz w:val="22"/>
          <w:szCs w:val="22"/>
          <w:lang w:val="en-GB"/>
        </w:rPr>
        <w:t xml:space="preserve"> (Mani et al. 2013; Shah et al. 2012)</w:t>
      </w:r>
      <w:r w:rsidR="00BB28D7" w:rsidRPr="0092002E">
        <w:rPr>
          <w:rFonts w:asciiTheme="minorHAnsi" w:hAnsiTheme="minorHAnsi" w:cstheme="minorHAnsi"/>
          <w:sz w:val="22"/>
          <w:szCs w:val="22"/>
          <w:lang w:val="en-GB"/>
        </w:rPr>
        <w:t xml:space="preserve">. </w:t>
      </w:r>
      <w:r w:rsidR="00AA41BC" w:rsidRPr="0092002E">
        <w:rPr>
          <w:rFonts w:asciiTheme="minorHAnsi" w:hAnsiTheme="minorHAnsi" w:cstheme="minorHAnsi"/>
          <w:sz w:val="22"/>
          <w:szCs w:val="22"/>
          <w:lang w:val="en-GB"/>
        </w:rPr>
        <w:t xml:space="preserve">Hence, the role of political trust for long-term policy preferences might depend on </w:t>
      </w:r>
      <w:r w:rsidR="005F5F8E">
        <w:rPr>
          <w:rFonts w:asciiTheme="minorHAnsi" w:hAnsiTheme="minorHAnsi" w:cstheme="minorHAnsi"/>
          <w:sz w:val="22"/>
          <w:szCs w:val="22"/>
          <w:lang w:val="en-GB"/>
        </w:rPr>
        <w:t xml:space="preserve">a person’s </w:t>
      </w:r>
      <w:r w:rsidR="00AA41BC" w:rsidRPr="0092002E">
        <w:rPr>
          <w:rFonts w:asciiTheme="minorHAnsi" w:hAnsiTheme="minorHAnsi" w:cstheme="minorHAnsi"/>
          <w:sz w:val="22"/>
          <w:szCs w:val="22"/>
          <w:lang w:val="en-GB"/>
        </w:rPr>
        <w:t>current situation</w:t>
      </w:r>
      <w:r w:rsidR="005F5F8E">
        <w:rPr>
          <w:rFonts w:asciiTheme="minorHAnsi" w:hAnsiTheme="minorHAnsi" w:cstheme="minorHAnsi"/>
          <w:sz w:val="22"/>
          <w:szCs w:val="22"/>
          <w:lang w:val="en-GB"/>
        </w:rPr>
        <w:t>. Being able to think about the long term may only be affordable and realistic for those with sufficient resources.</w:t>
      </w:r>
      <w:r w:rsidR="00830547">
        <w:rPr>
          <w:rFonts w:asciiTheme="minorHAnsi" w:hAnsiTheme="minorHAnsi" w:cstheme="minorHAnsi"/>
          <w:sz w:val="22"/>
          <w:szCs w:val="22"/>
          <w:lang w:val="en-GB"/>
        </w:rPr>
        <w:t xml:space="preserve"> In a different vein, one could imagine that having </w:t>
      </w:r>
      <w:r w:rsidR="00DB1299">
        <w:rPr>
          <w:rFonts w:asciiTheme="minorHAnsi" w:hAnsiTheme="minorHAnsi" w:cstheme="minorHAnsi"/>
          <w:sz w:val="22"/>
          <w:szCs w:val="22"/>
          <w:lang w:val="en-GB"/>
        </w:rPr>
        <w:t>(gran</w:t>
      </w:r>
      <w:r w:rsidR="00685697">
        <w:rPr>
          <w:rFonts w:asciiTheme="minorHAnsi" w:hAnsiTheme="minorHAnsi" w:cstheme="minorHAnsi"/>
          <w:sz w:val="22"/>
          <w:szCs w:val="22"/>
          <w:lang w:val="en-GB"/>
        </w:rPr>
        <w:t>d</w:t>
      </w:r>
      <w:r w:rsidR="00DB1299">
        <w:rPr>
          <w:rFonts w:asciiTheme="minorHAnsi" w:hAnsiTheme="minorHAnsi" w:cstheme="minorHAnsi"/>
          <w:sz w:val="22"/>
          <w:szCs w:val="22"/>
          <w:lang w:val="en-GB"/>
        </w:rPr>
        <w:t>)</w:t>
      </w:r>
      <w:r w:rsidR="00830547">
        <w:rPr>
          <w:rFonts w:asciiTheme="minorHAnsi" w:hAnsiTheme="minorHAnsi" w:cstheme="minorHAnsi"/>
          <w:sz w:val="22"/>
          <w:szCs w:val="22"/>
          <w:lang w:val="en-GB"/>
        </w:rPr>
        <w:t>children</w:t>
      </w:r>
      <w:r w:rsidR="00DB1299">
        <w:rPr>
          <w:rFonts w:asciiTheme="minorHAnsi" w:hAnsiTheme="minorHAnsi" w:cstheme="minorHAnsi"/>
          <w:sz w:val="22"/>
          <w:szCs w:val="22"/>
          <w:lang w:val="en-GB"/>
        </w:rPr>
        <w:t xml:space="preserve"> affects one’s investment in future policies (cf. Fairbrother et al. 2021). Such conditionality could be investigated through heterogenous treatment effects in experimental designs on the role of trust for long-term policy preferences or with individual-level interaction effects in cross-national surveys. Alternatively, one could link register data to panel data to track changes in an individual personal (social or financial) situation and study its effect on the relationship between political trust and long-term policy support. </w:t>
      </w:r>
    </w:p>
    <w:p w14:paraId="567DFB21" w14:textId="300D128F" w:rsidR="00E436F7" w:rsidRPr="00F07839" w:rsidRDefault="00054F77" w:rsidP="00831E42">
      <w:pPr>
        <w:ind w:firstLine="708"/>
        <w:rPr>
          <w:rFonts w:asciiTheme="minorHAnsi" w:hAnsiTheme="minorHAnsi" w:cstheme="minorHAnsi"/>
          <w:sz w:val="22"/>
          <w:szCs w:val="22"/>
          <w:lang w:val="en-GB"/>
        </w:rPr>
      </w:pPr>
      <w:r>
        <w:rPr>
          <w:rFonts w:asciiTheme="minorHAnsi" w:hAnsiTheme="minorHAnsi" w:cstheme="minorHAnsi"/>
          <w:sz w:val="22"/>
          <w:szCs w:val="22"/>
          <w:lang w:val="en-GB"/>
        </w:rPr>
        <w:t xml:space="preserve">Political trust is likely also to shape individuals’ reactions to proposals for wholly new institutions, such as </w:t>
      </w:r>
      <w:r w:rsidR="00E16FF3">
        <w:rPr>
          <w:rFonts w:asciiTheme="minorHAnsi" w:hAnsiTheme="minorHAnsi" w:cstheme="minorHAnsi"/>
          <w:sz w:val="22"/>
          <w:szCs w:val="22"/>
          <w:lang w:val="en-GB"/>
        </w:rPr>
        <w:t>some that theorists have proposed for the better representation of the interests of future generations (</w:t>
      </w:r>
      <w:r w:rsidR="00831E42" w:rsidRPr="00831E42">
        <w:rPr>
          <w:rFonts w:asciiTheme="minorHAnsi" w:hAnsiTheme="minorHAnsi" w:cstheme="minorHAnsi"/>
          <w:sz w:val="22"/>
          <w:szCs w:val="22"/>
          <w:lang w:val="en-GB"/>
        </w:rPr>
        <w:t>González-Ricoy</w:t>
      </w:r>
      <w:r w:rsidR="00831E42">
        <w:rPr>
          <w:rFonts w:asciiTheme="minorHAnsi" w:hAnsiTheme="minorHAnsi" w:cstheme="minorHAnsi"/>
          <w:sz w:val="22"/>
          <w:szCs w:val="22"/>
          <w:lang w:val="en-GB"/>
        </w:rPr>
        <w:t xml:space="preserve"> and </w:t>
      </w:r>
      <w:r w:rsidR="00831E42" w:rsidRPr="00831E42">
        <w:rPr>
          <w:rFonts w:asciiTheme="minorHAnsi" w:hAnsiTheme="minorHAnsi" w:cstheme="minorHAnsi"/>
          <w:sz w:val="22"/>
          <w:szCs w:val="22"/>
          <w:lang w:val="en-GB"/>
        </w:rPr>
        <w:t>Gosseries 2016</w:t>
      </w:r>
      <w:r w:rsidR="00831E42">
        <w:rPr>
          <w:rFonts w:asciiTheme="minorHAnsi" w:hAnsiTheme="minorHAnsi" w:cstheme="minorHAnsi"/>
          <w:sz w:val="22"/>
          <w:szCs w:val="22"/>
          <w:lang w:val="en-GB"/>
        </w:rPr>
        <w:t xml:space="preserve">). Individuals tend to transpose their </w:t>
      </w:r>
      <w:r w:rsidR="00831E42" w:rsidRPr="00F07839">
        <w:rPr>
          <w:rFonts w:asciiTheme="minorHAnsi" w:hAnsiTheme="minorHAnsi" w:cstheme="minorHAnsi"/>
          <w:sz w:val="22"/>
          <w:szCs w:val="22"/>
          <w:lang w:val="en-GB"/>
        </w:rPr>
        <w:t>institutional trust from one level to others, which explains why people’s trust in very different institutions tends to correlate (Dellmuth and Tallberg 2020). That is, p</w:t>
      </w:r>
      <w:r w:rsidR="00E436F7" w:rsidRPr="00F07839">
        <w:rPr>
          <w:rFonts w:asciiTheme="minorHAnsi" w:hAnsiTheme="minorHAnsi" w:cstheme="minorHAnsi"/>
          <w:sz w:val="22"/>
          <w:szCs w:val="22"/>
          <w:lang w:val="en-GB"/>
        </w:rPr>
        <w:t>eople transpose their trust in familiar institutions to less familiar ones.</w:t>
      </w:r>
    </w:p>
    <w:p w14:paraId="0281175D" w14:textId="4BC85FBC" w:rsidR="00AA41BC" w:rsidRPr="0092002E" w:rsidRDefault="00AA41BC" w:rsidP="00D57927">
      <w:pPr>
        <w:spacing w:after="160"/>
        <w:rPr>
          <w:rFonts w:asciiTheme="minorHAnsi" w:hAnsiTheme="minorHAnsi" w:cstheme="minorHAnsi"/>
          <w:b/>
          <w:bCs/>
          <w:sz w:val="22"/>
          <w:szCs w:val="22"/>
          <w:lang w:val="en-GB"/>
        </w:rPr>
      </w:pPr>
    </w:p>
    <w:p w14:paraId="0FC3BAA1" w14:textId="640D8B0C" w:rsidR="00774B5F" w:rsidRPr="0092002E" w:rsidRDefault="00774B5F" w:rsidP="00D57927">
      <w:pPr>
        <w:rPr>
          <w:rFonts w:asciiTheme="minorHAnsi" w:hAnsiTheme="minorHAnsi" w:cstheme="minorHAnsi"/>
          <w:b/>
          <w:bCs/>
          <w:sz w:val="22"/>
          <w:szCs w:val="22"/>
          <w:lang w:val="en-GB"/>
        </w:rPr>
      </w:pPr>
      <w:r w:rsidRPr="0092002E">
        <w:rPr>
          <w:rFonts w:asciiTheme="minorHAnsi" w:hAnsiTheme="minorHAnsi" w:cstheme="minorHAnsi"/>
          <w:b/>
          <w:bCs/>
          <w:sz w:val="22"/>
          <w:szCs w:val="22"/>
          <w:lang w:val="en-GB"/>
        </w:rPr>
        <w:t xml:space="preserve">References </w:t>
      </w:r>
    </w:p>
    <w:p w14:paraId="0B5EEA26" w14:textId="77777777" w:rsidR="006221CE" w:rsidRPr="0069307E" w:rsidRDefault="006221CE" w:rsidP="00643F21">
      <w:pPr>
        <w:ind w:left="709" w:hanging="709"/>
        <w:rPr>
          <w:rFonts w:asciiTheme="minorHAnsi" w:eastAsiaTheme="minorHAnsi" w:hAnsiTheme="minorHAnsi" w:cstheme="minorHAnsi"/>
          <w:sz w:val="22"/>
          <w:szCs w:val="22"/>
          <w:lang w:val="en-GB" w:eastAsia="nl-NL"/>
        </w:rPr>
      </w:pPr>
      <w:r w:rsidRPr="0069307E">
        <w:rPr>
          <w:rFonts w:asciiTheme="minorHAnsi" w:hAnsiTheme="minorHAnsi" w:cstheme="minorHAnsi"/>
          <w:sz w:val="22"/>
          <w:szCs w:val="22"/>
          <w:lang w:val="en-GB"/>
        </w:rPr>
        <w:t>Busemeyer</w:t>
      </w:r>
      <w:r w:rsidRPr="0092002E">
        <w:rPr>
          <w:rFonts w:asciiTheme="minorHAnsi" w:hAnsiTheme="minorHAnsi" w:cstheme="minorHAnsi"/>
          <w:sz w:val="22"/>
          <w:szCs w:val="22"/>
          <w:lang w:val="en-GB"/>
        </w:rPr>
        <w:t xml:space="preserve">, </w:t>
      </w:r>
      <w:r w:rsidRPr="0069307E">
        <w:rPr>
          <w:rFonts w:asciiTheme="minorHAnsi" w:hAnsiTheme="minorHAnsi" w:cstheme="minorHAnsi"/>
          <w:sz w:val="22"/>
          <w:szCs w:val="22"/>
          <w:lang w:val="en-GB"/>
        </w:rPr>
        <w:t>Marius R. (2023) </w:t>
      </w:r>
      <w:r w:rsidRPr="0092002E">
        <w:rPr>
          <w:rFonts w:asciiTheme="minorHAnsi" w:hAnsiTheme="minorHAnsi" w:cstheme="minorHAnsi"/>
          <w:sz w:val="22"/>
          <w:szCs w:val="22"/>
          <w:lang w:val="en-GB"/>
        </w:rPr>
        <w:t>”</w:t>
      </w:r>
      <w:r w:rsidRPr="0069307E">
        <w:rPr>
          <w:rFonts w:asciiTheme="minorHAnsi" w:hAnsiTheme="minorHAnsi" w:cstheme="minorHAnsi"/>
          <w:sz w:val="22"/>
          <w:szCs w:val="22"/>
          <w:lang w:val="en-GB"/>
        </w:rPr>
        <w:t>Who cares for the future? Exploring public attitudes towards the needs of future generations in Germany</w:t>
      </w:r>
      <w:r w:rsidRPr="0092002E">
        <w:rPr>
          <w:rFonts w:asciiTheme="minorHAnsi" w:hAnsiTheme="minorHAnsi" w:cstheme="minorHAnsi"/>
          <w:sz w:val="22"/>
          <w:szCs w:val="22"/>
          <w:lang w:val="en-GB"/>
        </w:rPr>
        <w:t>.”</w:t>
      </w:r>
      <w:r w:rsidRPr="0069307E">
        <w:rPr>
          <w:rFonts w:asciiTheme="minorHAnsi" w:hAnsiTheme="minorHAnsi" w:cstheme="minorHAnsi"/>
          <w:sz w:val="22"/>
          <w:szCs w:val="22"/>
          <w:lang w:val="en-GB"/>
        </w:rPr>
        <w:t> </w:t>
      </w:r>
      <w:r w:rsidRPr="0069307E">
        <w:rPr>
          <w:rFonts w:asciiTheme="minorHAnsi" w:hAnsiTheme="minorHAnsi" w:cstheme="minorHAnsi"/>
          <w:i/>
          <w:iCs/>
          <w:sz w:val="22"/>
          <w:szCs w:val="22"/>
          <w:lang w:val="en-GB"/>
        </w:rPr>
        <w:t>Journal of European Public</w:t>
      </w:r>
      <w:r w:rsidRPr="0092002E">
        <w:rPr>
          <w:rFonts w:asciiTheme="minorHAnsi" w:hAnsiTheme="minorHAnsi" w:cstheme="minorHAnsi"/>
          <w:i/>
          <w:iCs/>
          <w:sz w:val="22"/>
          <w:szCs w:val="22"/>
          <w:lang w:val="en-GB"/>
        </w:rPr>
        <w:t xml:space="preserve"> </w:t>
      </w:r>
      <w:r w:rsidRPr="0069307E">
        <w:rPr>
          <w:rFonts w:asciiTheme="minorHAnsi" w:hAnsiTheme="minorHAnsi" w:cstheme="minorHAnsi"/>
          <w:i/>
          <w:iCs/>
          <w:sz w:val="22"/>
          <w:szCs w:val="22"/>
          <w:lang w:val="en-GB"/>
        </w:rPr>
        <w:t>Policy</w:t>
      </w:r>
      <w:r w:rsidRPr="0069307E">
        <w:rPr>
          <w:rFonts w:asciiTheme="minorHAnsi" w:hAnsiTheme="minorHAnsi" w:cstheme="minorHAnsi"/>
          <w:sz w:val="22"/>
          <w:szCs w:val="22"/>
          <w:lang w:val="en-GB"/>
        </w:rPr>
        <w:t>, DOI: </w:t>
      </w:r>
      <w:hyperlink r:id="rId17" w:history="1">
        <w:r w:rsidRPr="0069307E">
          <w:rPr>
            <w:rStyle w:val="Hyperlink"/>
            <w:rFonts w:asciiTheme="minorHAnsi" w:hAnsiTheme="minorHAnsi" w:cstheme="minorHAnsi"/>
            <w:sz w:val="22"/>
            <w:szCs w:val="22"/>
            <w:lang w:val="en-GB"/>
          </w:rPr>
          <w:t>10.1080/13501763.2023.2165697</w:t>
        </w:r>
      </w:hyperlink>
    </w:p>
    <w:p w14:paraId="53496914" w14:textId="77777777" w:rsidR="006221CE" w:rsidRPr="0092002E" w:rsidRDefault="006221CE" w:rsidP="00D57927">
      <w:pPr>
        <w:ind w:left="709" w:hanging="709"/>
        <w:rPr>
          <w:rFonts w:asciiTheme="minorHAnsi" w:hAnsiTheme="minorHAnsi" w:cstheme="minorHAnsi"/>
          <w:sz w:val="22"/>
          <w:szCs w:val="22"/>
          <w:lang w:val="en-GB"/>
        </w:rPr>
      </w:pPr>
      <w:r w:rsidRPr="0092002E">
        <w:rPr>
          <w:rFonts w:asciiTheme="minorHAnsi" w:hAnsiTheme="minorHAnsi" w:cstheme="minorHAnsi"/>
          <w:sz w:val="22"/>
          <w:szCs w:val="22"/>
          <w:lang w:val="en-GB"/>
        </w:rPr>
        <w:t xml:space="preserve">Christensen, H. S., </w:t>
      </w:r>
      <w:r>
        <w:rPr>
          <w:rFonts w:asciiTheme="minorHAnsi" w:hAnsiTheme="minorHAnsi" w:cstheme="minorHAnsi"/>
          <w:sz w:val="22"/>
          <w:szCs w:val="22"/>
          <w:lang w:val="en-GB"/>
        </w:rPr>
        <w:t>and</w:t>
      </w:r>
      <w:r w:rsidRPr="0092002E">
        <w:rPr>
          <w:rFonts w:asciiTheme="minorHAnsi" w:hAnsiTheme="minorHAnsi" w:cstheme="minorHAnsi"/>
          <w:sz w:val="22"/>
          <w:szCs w:val="22"/>
          <w:lang w:val="en-GB"/>
        </w:rPr>
        <w:t xml:space="preserve"> Rapeli, L. (2021). Immediate rewards or delayed gratification? A conjoint survey experiment of the public’s policy preferences. </w:t>
      </w:r>
      <w:r w:rsidRPr="0092002E">
        <w:rPr>
          <w:rFonts w:asciiTheme="minorHAnsi" w:hAnsiTheme="minorHAnsi" w:cstheme="minorHAnsi"/>
          <w:i/>
          <w:iCs/>
          <w:sz w:val="22"/>
          <w:szCs w:val="22"/>
          <w:lang w:val="en-GB"/>
        </w:rPr>
        <w:t>Policy Sciences</w:t>
      </w:r>
      <w:r w:rsidRPr="0092002E">
        <w:rPr>
          <w:rFonts w:asciiTheme="minorHAnsi" w:hAnsiTheme="minorHAnsi" w:cstheme="minorHAnsi"/>
          <w:sz w:val="22"/>
          <w:szCs w:val="22"/>
          <w:lang w:val="en-GB"/>
        </w:rPr>
        <w:t>, </w:t>
      </w:r>
      <w:r w:rsidRPr="0092002E">
        <w:rPr>
          <w:rFonts w:asciiTheme="minorHAnsi" w:hAnsiTheme="minorHAnsi" w:cstheme="minorHAnsi"/>
          <w:i/>
          <w:iCs/>
          <w:sz w:val="22"/>
          <w:szCs w:val="22"/>
          <w:lang w:val="en-GB"/>
        </w:rPr>
        <w:t>54</w:t>
      </w:r>
      <w:r w:rsidRPr="0092002E">
        <w:rPr>
          <w:rFonts w:asciiTheme="minorHAnsi" w:hAnsiTheme="minorHAnsi" w:cstheme="minorHAnsi"/>
          <w:sz w:val="22"/>
          <w:szCs w:val="22"/>
          <w:lang w:val="en-GB"/>
        </w:rPr>
        <w:t>(1), 63-94.</w:t>
      </w:r>
    </w:p>
    <w:p w14:paraId="21FBB2FF" w14:textId="77777777" w:rsidR="003663C7" w:rsidRDefault="003663C7" w:rsidP="00831E42">
      <w:pPr>
        <w:ind w:left="709" w:hanging="709"/>
        <w:rPr>
          <w:rFonts w:asciiTheme="minorHAnsi" w:hAnsiTheme="minorHAnsi" w:cstheme="minorHAnsi"/>
          <w:sz w:val="22"/>
          <w:szCs w:val="22"/>
          <w:lang w:val="en-GB"/>
        </w:rPr>
      </w:pPr>
      <w:r w:rsidRPr="003663C7">
        <w:rPr>
          <w:rFonts w:asciiTheme="minorHAnsi" w:hAnsiTheme="minorHAnsi" w:cstheme="minorHAnsi"/>
          <w:sz w:val="22"/>
          <w:szCs w:val="22"/>
          <w:lang w:val="en-GB"/>
        </w:rPr>
        <w:t xml:space="preserve">Cropper, M. L., Aydede, S. K., &amp; Portney, P. R. (1994). Preferences for life saving programs: how the public discounts time and age. </w:t>
      </w:r>
      <w:r w:rsidRPr="00685697">
        <w:rPr>
          <w:rFonts w:asciiTheme="minorHAnsi" w:hAnsiTheme="minorHAnsi" w:cstheme="minorHAnsi"/>
          <w:i/>
          <w:iCs/>
          <w:sz w:val="22"/>
          <w:szCs w:val="22"/>
          <w:lang w:val="en-GB"/>
        </w:rPr>
        <w:t>Journal of Risk and Uncertainty, 8</w:t>
      </w:r>
      <w:r w:rsidRPr="003663C7">
        <w:rPr>
          <w:rFonts w:asciiTheme="minorHAnsi" w:hAnsiTheme="minorHAnsi" w:cstheme="minorHAnsi"/>
          <w:sz w:val="22"/>
          <w:szCs w:val="22"/>
          <w:lang w:val="en-GB"/>
        </w:rPr>
        <w:t>, 243-265.</w:t>
      </w:r>
    </w:p>
    <w:p w14:paraId="425103B9" w14:textId="11B32E16" w:rsidR="006221CE" w:rsidRPr="0092002E" w:rsidRDefault="006221CE" w:rsidP="00831E42">
      <w:pPr>
        <w:ind w:left="709" w:hanging="709"/>
        <w:rPr>
          <w:rFonts w:asciiTheme="minorHAnsi" w:hAnsiTheme="minorHAnsi" w:cstheme="minorHAnsi"/>
          <w:sz w:val="22"/>
          <w:szCs w:val="22"/>
          <w:lang w:val="en-GB"/>
        </w:rPr>
      </w:pPr>
      <w:r w:rsidRPr="00831E42">
        <w:rPr>
          <w:rFonts w:asciiTheme="minorHAnsi" w:hAnsiTheme="minorHAnsi" w:cstheme="minorHAnsi"/>
          <w:sz w:val="22"/>
          <w:szCs w:val="22"/>
          <w:lang w:val="en-GB"/>
        </w:rPr>
        <w:t>Dellmuth</w:t>
      </w:r>
      <w:r>
        <w:rPr>
          <w:rFonts w:asciiTheme="minorHAnsi" w:hAnsiTheme="minorHAnsi" w:cstheme="minorHAnsi"/>
          <w:sz w:val="22"/>
          <w:szCs w:val="22"/>
          <w:lang w:val="en-GB"/>
        </w:rPr>
        <w:t xml:space="preserve">, </w:t>
      </w:r>
      <w:r w:rsidRPr="00831E42">
        <w:rPr>
          <w:rFonts w:asciiTheme="minorHAnsi" w:hAnsiTheme="minorHAnsi" w:cstheme="minorHAnsi"/>
          <w:sz w:val="22"/>
          <w:szCs w:val="22"/>
          <w:lang w:val="en-GB"/>
        </w:rPr>
        <w:t>Lisa Maria</w:t>
      </w:r>
      <w:r>
        <w:rPr>
          <w:rFonts w:asciiTheme="minorHAnsi" w:hAnsiTheme="minorHAnsi" w:cstheme="minorHAnsi"/>
          <w:sz w:val="22"/>
          <w:szCs w:val="22"/>
          <w:lang w:val="en-GB"/>
        </w:rPr>
        <w:t xml:space="preserve">, and </w:t>
      </w:r>
      <w:r w:rsidRPr="00831E42">
        <w:rPr>
          <w:rFonts w:asciiTheme="minorHAnsi" w:hAnsiTheme="minorHAnsi" w:cstheme="minorHAnsi"/>
          <w:sz w:val="22"/>
          <w:szCs w:val="22"/>
          <w:lang w:val="en-GB"/>
        </w:rPr>
        <w:t>Jonas Tallberg</w:t>
      </w:r>
      <w:r>
        <w:rPr>
          <w:rFonts w:asciiTheme="minorHAnsi" w:hAnsiTheme="minorHAnsi" w:cstheme="minorHAnsi"/>
          <w:sz w:val="22"/>
          <w:szCs w:val="22"/>
          <w:lang w:val="en-GB"/>
        </w:rPr>
        <w:t>. 2020. “</w:t>
      </w:r>
      <w:r w:rsidRPr="00831E42">
        <w:rPr>
          <w:rFonts w:asciiTheme="minorHAnsi" w:hAnsiTheme="minorHAnsi" w:cstheme="minorHAnsi"/>
          <w:sz w:val="22"/>
          <w:szCs w:val="22"/>
          <w:lang w:val="en-GB"/>
        </w:rPr>
        <w:t>Why national and international legitimacy beliefs are linked: Social trust as an antecedent factor</w:t>
      </w:r>
      <w:r>
        <w:rPr>
          <w:rFonts w:asciiTheme="minorHAnsi" w:hAnsiTheme="minorHAnsi" w:cstheme="minorHAnsi"/>
          <w:sz w:val="22"/>
          <w:szCs w:val="22"/>
          <w:lang w:val="en-GB"/>
        </w:rPr>
        <w:t xml:space="preserve">.” </w:t>
      </w:r>
      <w:r w:rsidRPr="00831E42">
        <w:rPr>
          <w:rFonts w:asciiTheme="minorHAnsi" w:hAnsiTheme="minorHAnsi" w:cstheme="minorHAnsi"/>
          <w:i/>
          <w:iCs/>
          <w:sz w:val="22"/>
          <w:szCs w:val="22"/>
          <w:lang w:val="en-GB"/>
        </w:rPr>
        <w:t>Review of International Organizations</w:t>
      </w:r>
      <w:r w:rsidRPr="00831E42">
        <w:rPr>
          <w:rFonts w:asciiTheme="minorHAnsi" w:hAnsiTheme="minorHAnsi" w:cstheme="minorHAnsi"/>
          <w:sz w:val="22"/>
          <w:szCs w:val="22"/>
          <w:lang w:val="en-GB"/>
        </w:rPr>
        <w:t xml:space="preserve"> 15</w:t>
      </w:r>
      <w:r>
        <w:rPr>
          <w:rFonts w:asciiTheme="minorHAnsi" w:hAnsiTheme="minorHAnsi" w:cstheme="minorHAnsi"/>
          <w:sz w:val="22"/>
          <w:szCs w:val="22"/>
          <w:lang w:val="en-GB"/>
        </w:rPr>
        <w:t xml:space="preserve">: </w:t>
      </w:r>
      <w:r w:rsidRPr="00831E42">
        <w:rPr>
          <w:rFonts w:asciiTheme="minorHAnsi" w:hAnsiTheme="minorHAnsi" w:cstheme="minorHAnsi"/>
          <w:sz w:val="22"/>
          <w:szCs w:val="22"/>
          <w:lang w:val="en-GB"/>
        </w:rPr>
        <w:t>311–337</w:t>
      </w:r>
      <w:r>
        <w:rPr>
          <w:rFonts w:asciiTheme="minorHAnsi" w:hAnsiTheme="minorHAnsi" w:cstheme="minorHAnsi"/>
          <w:sz w:val="22"/>
          <w:szCs w:val="22"/>
          <w:lang w:val="en-GB"/>
        </w:rPr>
        <w:t>.</w:t>
      </w:r>
    </w:p>
    <w:p w14:paraId="3908B9C8" w14:textId="77777777" w:rsidR="006221CE" w:rsidRPr="0092002E" w:rsidRDefault="006221CE" w:rsidP="00D57927">
      <w:pPr>
        <w:ind w:left="709" w:hanging="709"/>
        <w:rPr>
          <w:rFonts w:asciiTheme="minorHAnsi" w:hAnsiTheme="minorHAnsi" w:cstheme="minorHAnsi"/>
          <w:sz w:val="22"/>
          <w:szCs w:val="22"/>
          <w:lang w:val="en-GB"/>
        </w:rPr>
      </w:pPr>
      <w:r w:rsidRPr="0092002E">
        <w:rPr>
          <w:rFonts w:asciiTheme="minorHAnsi" w:hAnsiTheme="minorHAnsi" w:cstheme="minorHAnsi"/>
          <w:sz w:val="22"/>
          <w:szCs w:val="22"/>
          <w:lang w:val="en-GB"/>
        </w:rPr>
        <w:t xml:space="preserve">Dinesen, P. T., Sønderskov, K. M., Sohlberg, J., </w:t>
      </w:r>
      <w:r>
        <w:rPr>
          <w:rFonts w:asciiTheme="minorHAnsi" w:hAnsiTheme="minorHAnsi" w:cstheme="minorHAnsi"/>
          <w:sz w:val="22"/>
          <w:szCs w:val="22"/>
          <w:lang w:val="en-GB"/>
        </w:rPr>
        <w:t>and</w:t>
      </w:r>
      <w:r w:rsidRPr="0092002E">
        <w:rPr>
          <w:rFonts w:asciiTheme="minorHAnsi" w:hAnsiTheme="minorHAnsi" w:cstheme="minorHAnsi"/>
          <w:sz w:val="22"/>
          <w:szCs w:val="22"/>
          <w:lang w:val="en-GB"/>
        </w:rPr>
        <w:t xml:space="preserve"> Esaiasson, P. (2022). Close (Causally Connected) Cousins? Evidence on the Causal Relationship between Political Trust and Social Trust. </w:t>
      </w:r>
      <w:r w:rsidRPr="0092002E">
        <w:rPr>
          <w:rFonts w:asciiTheme="minorHAnsi" w:hAnsiTheme="minorHAnsi" w:cstheme="minorHAnsi"/>
          <w:i/>
          <w:iCs/>
          <w:sz w:val="22"/>
          <w:szCs w:val="22"/>
          <w:lang w:val="en-GB"/>
        </w:rPr>
        <w:t>Public Opinion Quarterly, 86</w:t>
      </w:r>
      <w:r w:rsidRPr="0092002E">
        <w:rPr>
          <w:rFonts w:asciiTheme="minorHAnsi" w:hAnsiTheme="minorHAnsi" w:cstheme="minorHAnsi"/>
          <w:sz w:val="22"/>
          <w:szCs w:val="22"/>
          <w:lang w:val="en-GB"/>
        </w:rPr>
        <w:t xml:space="preserve">(3), 708-721. </w:t>
      </w:r>
    </w:p>
    <w:p w14:paraId="1ECC04E0" w14:textId="580D1466" w:rsidR="006221CE" w:rsidRPr="0092002E" w:rsidRDefault="006221CE" w:rsidP="00D57927">
      <w:pPr>
        <w:ind w:left="709" w:hanging="709"/>
        <w:rPr>
          <w:rFonts w:asciiTheme="minorHAnsi" w:hAnsiTheme="minorHAnsi" w:cstheme="minorHAnsi"/>
          <w:sz w:val="22"/>
          <w:szCs w:val="22"/>
          <w:lang w:val="en-GB"/>
        </w:rPr>
      </w:pPr>
      <w:r w:rsidRPr="0092002E">
        <w:rPr>
          <w:rFonts w:asciiTheme="minorHAnsi" w:hAnsiTheme="minorHAnsi" w:cstheme="minorHAnsi"/>
          <w:sz w:val="22"/>
          <w:szCs w:val="22"/>
          <w:lang w:val="en-GB"/>
        </w:rPr>
        <w:t>Dryhurst, S. Schneider, C. R. Kerr, J., Freeman, A. L. Recchia, G., Van Der Bles, A. M., Spiegelhalter, D.</w:t>
      </w:r>
      <w:r>
        <w:rPr>
          <w:rFonts w:asciiTheme="minorHAnsi" w:hAnsiTheme="minorHAnsi" w:cstheme="minorHAnsi"/>
          <w:sz w:val="22"/>
          <w:szCs w:val="22"/>
          <w:lang w:val="en-GB"/>
        </w:rPr>
        <w:t xml:space="preserve"> </w:t>
      </w:r>
      <w:r w:rsidRPr="0092002E">
        <w:rPr>
          <w:rFonts w:asciiTheme="minorHAnsi" w:hAnsiTheme="minorHAnsi" w:cstheme="minorHAnsi"/>
          <w:sz w:val="22"/>
          <w:szCs w:val="22"/>
          <w:lang w:val="en-GB"/>
        </w:rPr>
        <w:t xml:space="preserve">and van der Linden, S. (2020), Risk perceptions of covid-19 around the world. </w:t>
      </w:r>
      <w:r w:rsidRPr="0092002E">
        <w:rPr>
          <w:rFonts w:asciiTheme="minorHAnsi" w:hAnsiTheme="minorHAnsi" w:cstheme="minorHAnsi"/>
          <w:i/>
          <w:iCs/>
          <w:sz w:val="22"/>
          <w:szCs w:val="22"/>
          <w:lang w:val="en-GB"/>
        </w:rPr>
        <w:t xml:space="preserve">Journal of Risk Research, 23 </w:t>
      </w:r>
      <w:r w:rsidRPr="0092002E">
        <w:rPr>
          <w:rFonts w:asciiTheme="minorHAnsi" w:hAnsiTheme="minorHAnsi" w:cstheme="minorHAnsi"/>
          <w:sz w:val="22"/>
          <w:szCs w:val="22"/>
          <w:lang w:val="en-GB"/>
        </w:rPr>
        <w:t>(7-8): 994–1006.</w:t>
      </w:r>
    </w:p>
    <w:p w14:paraId="13E3C957" w14:textId="77777777" w:rsidR="006221CE" w:rsidRPr="0092002E" w:rsidRDefault="006221CE" w:rsidP="00D57927">
      <w:pPr>
        <w:ind w:left="709" w:hanging="709"/>
        <w:rPr>
          <w:rFonts w:asciiTheme="minorHAnsi" w:hAnsiTheme="minorHAnsi" w:cstheme="minorHAnsi"/>
          <w:sz w:val="22"/>
          <w:szCs w:val="22"/>
          <w:lang w:val="en-GB"/>
        </w:rPr>
      </w:pPr>
      <w:r w:rsidRPr="0092002E">
        <w:rPr>
          <w:rFonts w:asciiTheme="minorHAnsi" w:hAnsiTheme="minorHAnsi" w:cstheme="minorHAnsi"/>
          <w:sz w:val="22"/>
          <w:szCs w:val="22"/>
          <w:lang w:val="en-GB"/>
        </w:rPr>
        <w:t>Esaiasson, P., Dahlberg, S. and Kokkonen, A. (2020), In pursuit of happiness: Life satisfaction drives political support. European Journal of Political Research, 59: 25-44.</w:t>
      </w:r>
    </w:p>
    <w:p w14:paraId="24AFB86B" w14:textId="77777777" w:rsidR="006221CE" w:rsidRPr="00E42118" w:rsidRDefault="006221CE" w:rsidP="00D57927">
      <w:pPr>
        <w:ind w:left="709" w:hanging="709"/>
        <w:rPr>
          <w:rFonts w:asciiTheme="minorHAnsi" w:hAnsiTheme="minorHAnsi" w:cstheme="minorHAnsi"/>
          <w:sz w:val="22"/>
          <w:szCs w:val="22"/>
          <w:lang w:val="en-GB"/>
        </w:rPr>
      </w:pPr>
      <w:r w:rsidRPr="00E42118">
        <w:rPr>
          <w:rFonts w:asciiTheme="minorHAnsi" w:hAnsiTheme="minorHAnsi" w:cstheme="minorHAnsi"/>
          <w:sz w:val="22"/>
          <w:szCs w:val="22"/>
          <w:lang w:val="en-GB"/>
        </w:rPr>
        <w:t>Fairbrother, M. (2019). When Will People Pay to Pollute? Environmental Taxes, Political Trust and Experimental Evidence from Britain. </w:t>
      </w:r>
      <w:r w:rsidRPr="00E42118">
        <w:rPr>
          <w:rFonts w:asciiTheme="minorHAnsi" w:hAnsiTheme="minorHAnsi" w:cstheme="minorHAnsi"/>
          <w:i/>
          <w:iCs/>
          <w:sz w:val="22"/>
          <w:szCs w:val="22"/>
          <w:lang w:val="en-GB"/>
        </w:rPr>
        <w:t>British Journal of Political Science,</w:t>
      </w:r>
      <w:r w:rsidRPr="00E42118">
        <w:rPr>
          <w:rFonts w:asciiTheme="minorHAnsi" w:hAnsiTheme="minorHAnsi" w:cstheme="minorHAnsi"/>
          <w:sz w:val="22"/>
          <w:szCs w:val="22"/>
          <w:lang w:val="en-GB"/>
        </w:rPr>
        <w:t> </w:t>
      </w:r>
      <w:r w:rsidRPr="00E42118">
        <w:rPr>
          <w:rFonts w:asciiTheme="minorHAnsi" w:hAnsiTheme="minorHAnsi" w:cstheme="minorHAnsi"/>
          <w:i/>
          <w:iCs/>
          <w:sz w:val="22"/>
          <w:szCs w:val="22"/>
          <w:lang w:val="en-GB"/>
        </w:rPr>
        <w:t>49</w:t>
      </w:r>
      <w:r w:rsidRPr="00E42118">
        <w:rPr>
          <w:rFonts w:asciiTheme="minorHAnsi" w:hAnsiTheme="minorHAnsi" w:cstheme="minorHAnsi"/>
          <w:sz w:val="22"/>
          <w:szCs w:val="22"/>
          <w:lang w:val="en-GB"/>
        </w:rPr>
        <w:t xml:space="preserve">(2), 661-682. </w:t>
      </w:r>
    </w:p>
    <w:p w14:paraId="0442A1FD" w14:textId="77777777" w:rsidR="006221CE" w:rsidRPr="00E42118" w:rsidRDefault="006221CE" w:rsidP="00D57927">
      <w:pPr>
        <w:ind w:left="709" w:hanging="709"/>
        <w:rPr>
          <w:rFonts w:asciiTheme="minorHAnsi" w:hAnsiTheme="minorHAnsi" w:cstheme="minorHAnsi"/>
          <w:sz w:val="22"/>
          <w:szCs w:val="22"/>
          <w:lang w:val="en-GB"/>
        </w:rPr>
      </w:pPr>
      <w:r w:rsidRPr="00E42118">
        <w:rPr>
          <w:rFonts w:asciiTheme="minorHAnsi" w:hAnsiTheme="minorHAnsi" w:cstheme="minorHAnsi"/>
          <w:sz w:val="22"/>
          <w:szCs w:val="22"/>
          <w:lang w:val="en-GB"/>
        </w:rPr>
        <w:lastRenderedPageBreak/>
        <w:t xml:space="preserve">Fairbrother, M., Mewes, J., Wilkes, R., Wu, C., </w:t>
      </w:r>
      <w:r>
        <w:rPr>
          <w:rFonts w:asciiTheme="minorHAnsi" w:hAnsiTheme="minorHAnsi" w:cstheme="minorHAnsi"/>
          <w:sz w:val="22"/>
          <w:szCs w:val="22"/>
          <w:lang w:val="en-GB"/>
        </w:rPr>
        <w:t>and</w:t>
      </w:r>
      <w:r w:rsidRPr="00E42118">
        <w:rPr>
          <w:rFonts w:asciiTheme="minorHAnsi" w:hAnsiTheme="minorHAnsi" w:cstheme="minorHAnsi"/>
          <w:sz w:val="22"/>
          <w:szCs w:val="22"/>
          <w:lang w:val="en-GB"/>
        </w:rPr>
        <w:t xml:space="preserve"> Giordano, G. N. (2022). Can Bureaucrats Break Trust? Testing Cultural and Institutional Theories of Trust with Chinese Panel Data. </w:t>
      </w:r>
      <w:r w:rsidRPr="00E42118">
        <w:rPr>
          <w:rFonts w:asciiTheme="minorHAnsi" w:hAnsiTheme="minorHAnsi" w:cstheme="minorHAnsi"/>
          <w:i/>
          <w:iCs/>
          <w:sz w:val="22"/>
          <w:szCs w:val="22"/>
          <w:lang w:val="en-GB"/>
        </w:rPr>
        <w:t>Socius</w:t>
      </w:r>
      <w:r w:rsidRPr="00E42118">
        <w:rPr>
          <w:rFonts w:asciiTheme="minorHAnsi" w:hAnsiTheme="minorHAnsi" w:cstheme="minorHAnsi"/>
          <w:sz w:val="22"/>
          <w:szCs w:val="22"/>
          <w:lang w:val="en-GB"/>
        </w:rPr>
        <w:t>, </w:t>
      </w:r>
      <w:r w:rsidRPr="00E42118">
        <w:rPr>
          <w:rFonts w:asciiTheme="minorHAnsi" w:hAnsiTheme="minorHAnsi" w:cstheme="minorHAnsi"/>
          <w:i/>
          <w:iCs/>
          <w:sz w:val="22"/>
          <w:szCs w:val="22"/>
          <w:lang w:val="en-GB"/>
        </w:rPr>
        <w:t>8</w:t>
      </w:r>
      <w:r w:rsidRPr="00E42118">
        <w:rPr>
          <w:rFonts w:asciiTheme="minorHAnsi" w:hAnsiTheme="minorHAnsi" w:cstheme="minorHAnsi"/>
          <w:sz w:val="22"/>
          <w:szCs w:val="22"/>
          <w:lang w:val="en-GB"/>
        </w:rPr>
        <w:t>. </w:t>
      </w:r>
      <w:hyperlink r:id="rId18" w:history="1">
        <w:r w:rsidRPr="00E42118">
          <w:rPr>
            <w:rStyle w:val="Hyperlink"/>
            <w:rFonts w:asciiTheme="minorHAnsi" w:hAnsiTheme="minorHAnsi" w:cstheme="minorHAnsi"/>
            <w:sz w:val="22"/>
            <w:szCs w:val="22"/>
            <w:lang w:val="en-GB"/>
          </w:rPr>
          <w:t>https://doi.org/10.1177/23780231221126879</w:t>
        </w:r>
      </w:hyperlink>
    </w:p>
    <w:p w14:paraId="0B4D1478" w14:textId="77777777" w:rsidR="006221CE" w:rsidRPr="0092002E" w:rsidRDefault="006221CE" w:rsidP="00D57927">
      <w:pPr>
        <w:ind w:left="709" w:hanging="709"/>
        <w:rPr>
          <w:rFonts w:asciiTheme="minorHAnsi" w:hAnsiTheme="minorHAnsi" w:cstheme="minorHAnsi"/>
          <w:sz w:val="22"/>
          <w:szCs w:val="22"/>
          <w:lang w:val="en-GB"/>
        </w:rPr>
      </w:pPr>
      <w:r w:rsidRPr="0092002E">
        <w:rPr>
          <w:rFonts w:asciiTheme="minorHAnsi" w:hAnsiTheme="minorHAnsi" w:cstheme="minorHAnsi"/>
          <w:sz w:val="22"/>
          <w:szCs w:val="22"/>
          <w:lang w:val="en-GB"/>
        </w:rPr>
        <w:t xml:space="preserve">Fairbrother, Malcolm, Gustaf Arrhenius, Krister Bykvist, and Tim Campbell. 2021. “Governing for Future Generations: How Political Trust Shapes Attitudes Towards Climate and Debt Policies.” </w:t>
      </w:r>
      <w:r w:rsidRPr="0092002E">
        <w:rPr>
          <w:rFonts w:asciiTheme="minorHAnsi" w:hAnsiTheme="minorHAnsi" w:cstheme="minorHAnsi"/>
          <w:i/>
          <w:iCs/>
          <w:sz w:val="22"/>
          <w:szCs w:val="22"/>
          <w:lang w:val="en-GB"/>
        </w:rPr>
        <w:t>Frontiers in Political Science</w:t>
      </w:r>
      <w:r w:rsidRPr="0092002E">
        <w:rPr>
          <w:rFonts w:asciiTheme="minorHAnsi" w:hAnsiTheme="minorHAnsi" w:cstheme="minorHAnsi"/>
          <w:sz w:val="22"/>
          <w:szCs w:val="22"/>
          <w:lang w:val="en-GB"/>
        </w:rPr>
        <w:t xml:space="preserve"> 3 . https://doi.org/10.3389/fpos.2021.656053</w:t>
      </w:r>
    </w:p>
    <w:p w14:paraId="271703DB" w14:textId="77777777" w:rsidR="006221CE" w:rsidRPr="0092002E" w:rsidRDefault="006221CE" w:rsidP="00643F21">
      <w:pPr>
        <w:ind w:left="709" w:hanging="709"/>
        <w:rPr>
          <w:rFonts w:asciiTheme="minorHAnsi" w:eastAsiaTheme="minorHAnsi" w:hAnsiTheme="minorHAnsi" w:cstheme="minorHAnsi"/>
          <w:sz w:val="22"/>
          <w:szCs w:val="22"/>
          <w:lang w:val="en-GB" w:eastAsia="nl-NL"/>
        </w:rPr>
      </w:pPr>
      <w:r w:rsidRPr="0092002E">
        <w:rPr>
          <w:rFonts w:asciiTheme="minorHAnsi" w:eastAsiaTheme="minorHAnsi" w:hAnsiTheme="minorHAnsi" w:cstheme="minorHAnsi"/>
          <w:sz w:val="22"/>
          <w:szCs w:val="22"/>
          <w:lang w:val="en-GB" w:eastAsia="nl-NL"/>
        </w:rPr>
        <w:t>Garritzmann, J.L., Neimanns, E., and Busemeyer, M.R</w:t>
      </w:r>
      <w:r w:rsidRPr="00643F21">
        <w:rPr>
          <w:rFonts w:asciiTheme="minorHAnsi" w:eastAsiaTheme="minorHAnsi" w:hAnsiTheme="minorHAnsi" w:cstheme="minorHAnsi"/>
          <w:sz w:val="22"/>
          <w:szCs w:val="22"/>
          <w:lang w:val="en-GB" w:eastAsia="nl-NL"/>
        </w:rPr>
        <w:t>. (2023), Public opinion towards welfare state reform: The role of political trust and government satisfaction. European Journal of Political Research, 62: 197-220. </w:t>
      </w:r>
      <w:hyperlink r:id="rId19" w:history="1">
        <w:r w:rsidRPr="00643F21">
          <w:rPr>
            <w:rStyle w:val="Hyperlink"/>
            <w:rFonts w:asciiTheme="minorHAnsi" w:eastAsiaTheme="minorHAnsi" w:hAnsiTheme="minorHAnsi" w:cstheme="minorHAnsi"/>
            <w:sz w:val="22"/>
            <w:szCs w:val="22"/>
            <w:lang w:val="en-GB" w:eastAsia="nl-NL"/>
          </w:rPr>
          <w:t>https://doi.org/10.1111/1475-6765.12501</w:t>
        </w:r>
      </w:hyperlink>
    </w:p>
    <w:p w14:paraId="38FBAE3E" w14:textId="77777777" w:rsidR="006221CE" w:rsidRPr="00831E42" w:rsidRDefault="006221CE" w:rsidP="00831E42">
      <w:pPr>
        <w:ind w:left="709" w:hanging="709"/>
        <w:rPr>
          <w:rFonts w:asciiTheme="minorHAnsi" w:hAnsiTheme="minorHAnsi" w:cstheme="minorHAnsi"/>
          <w:sz w:val="22"/>
          <w:szCs w:val="22"/>
          <w:lang w:val="en-GB"/>
        </w:rPr>
      </w:pPr>
      <w:r w:rsidRPr="00831E42">
        <w:rPr>
          <w:rFonts w:asciiTheme="minorHAnsi" w:hAnsiTheme="minorHAnsi" w:cstheme="minorHAnsi"/>
          <w:sz w:val="22"/>
          <w:szCs w:val="22"/>
          <w:lang w:val="en-GB"/>
        </w:rPr>
        <w:t xml:space="preserve">González-Ricoy, Iñigo, and Axel Gosseries (eds.). 2016. </w:t>
      </w:r>
      <w:r w:rsidRPr="00831E42">
        <w:rPr>
          <w:rFonts w:asciiTheme="minorHAnsi" w:hAnsiTheme="minorHAnsi" w:cstheme="minorHAnsi"/>
          <w:i/>
          <w:iCs/>
          <w:sz w:val="22"/>
          <w:szCs w:val="22"/>
          <w:lang w:val="en-GB"/>
        </w:rPr>
        <w:t>Institutions for Future Generations</w:t>
      </w:r>
      <w:r w:rsidRPr="00831E42">
        <w:rPr>
          <w:rFonts w:asciiTheme="minorHAnsi" w:hAnsiTheme="minorHAnsi" w:cstheme="minorHAnsi"/>
          <w:sz w:val="22"/>
          <w:szCs w:val="22"/>
          <w:lang w:val="en-GB"/>
        </w:rPr>
        <w:t>. Oxford: Oxford University Press.</w:t>
      </w:r>
    </w:p>
    <w:p w14:paraId="2A585784" w14:textId="77777777" w:rsidR="006221CE" w:rsidRPr="0092002E" w:rsidRDefault="006221CE" w:rsidP="00643F21">
      <w:pPr>
        <w:ind w:left="709" w:hanging="709"/>
        <w:rPr>
          <w:rFonts w:asciiTheme="minorHAnsi" w:hAnsiTheme="minorHAnsi" w:cstheme="minorHAnsi"/>
          <w:sz w:val="22"/>
          <w:szCs w:val="22"/>
          <w:lang w:val="en-GB"/>
        </w:rPr>
      </w:pPr>
      <w:r w:rsidRPr="00643F21">
        <w:rPr>
          <w:rFonts w:asciiTheme="minorHAnsi" w:hAnsiTheme="minorHAnsi" w:cstheme="minorHAnsi"/>
          <w:sz w:val="22"/>
          <w:szCs w:val="22"/>
          <w:lang w:val="en-GB"/>
        </w:rPr>
        <w:t>Goubin</w:t>
      </w:r>
      <w:r w:rsidRPr="0092002E">
        <w:rPr>
          <w:rFonts w:asciiTheme="minorHAnsi" w:hAnsiTheme="minorHAnsi" w:cstheme="minorHAnsi"/>
          <w:sz w:val="22"/>
          <w:szCs w:val="22"/>
          <w:lang w:val="en-GB"/>
        </w:rPr>
        <w:t xml:space="preserve">, </w:t>
      </w:r>
      <w:r w:rsidRPr="00643F21">
        <w:rPr>
          <w:rFonts w:asciiTheme="minorHAnsi" w:hAnsiTheme="minorHAnsi" w:cstheme="minorHAnsi"/>
          <w:sz w:val="22"/>
          <w:szCs w:val="22"/>
          <w:lang w:val="en-GB"/>
        </w:rPr>
        <w:t>Silke,</w:t>
      </w:r>
      <w:r w:rsidRPr="0092002E">
        <w:rPr>
          <w:rFonts w:asciiTheme="minorHAnsi" w:hAnsiTheme="minorHAnsi" w:cstheme="minorHAnsi"/>
          <w:sz w:val="22"/>
          <w:szCs w:val="22"/>
          <w:lang w:val="en-GB"/>
        </w:rPr>
        <w:t xml:space="preserve"> and</w:t>
      </w:r>
      <w:r w:rsidRPr="00643F21">
        <w:rPr>
          <w:rFonts w:asciiTheme="minorHAnsi" w:hAnsiTheme="minorHAnsi" w:cstheme="minorHAnsi"/>
          <w:sz w:val="22"/>
          <w:szCs w:val="22"/>
          <w:lang w:val="en-GB"/>
        </w:rPr>
        <w:t> Staffan Kumlin</w:t>
      </w:r>
      <w:r w:rsidRPr="0092002E">
        <w:rPr>
          <w:rFonts w:asciiTheme="minorHAnsi" w:hAnsiTheme="minorHAnsi" w:cstheme="minorHAnsi"/>
          <w:sz w:val="22"/>
          <w:szCs w:val="22"/>
          <w:lang w:val="en-GB"/>
        </w:rPr>
        <w:t>. 2022.</w:t>
      </w:r>
      <w:r w:rsidRPr="00643F21">
        <w:rPr>
          <w:rFonts w:asciiTheme="minorHAnsi" w:hAnsiTheme="minorHAnsi" w:cstheme="minorHAnsi"/>
          <w:sz w:val="22"/>
          <w:szCs w:val="22"/>
          <w:lang w:val="en-GB"/>
        </w:rPr>
        <w:t xml:space="preserve"> Political Trust and Policy Demand in Changing Welfare States: Building Normative Support and Easing Reform Acceptance?, </w:t>
      </w:r>
      <w:r w:rsidRPr="00643F21">
        <w:rPr>
          <w:rFonts w:asciiTheme="minorHAnsi" w:hAnsiTheme="minorHAnsi" w:cstheme="minorHAnsi"/>
          <w:i/>
          <w:iCs/>
          <w:sz w:val="22"/>
          <w:szCs w:val="22"/>
          <w:lang w:val="en-GB"/>
        </w:rPr>
        <w:t>European Sociological Review</w:t>
      </w:r>
      <w:r w:rsidRPr="00643F21">
        <w:rPr>
          <w:rFonts w:asciiTheme="minorHAnsi" w:hAnsiTheme="minorHAnsi" w:cstheme="minorHAnsi"/>
          <w:sz w:val="22"/>
          <w:szCs w:val="22"/>
          <w:lang w:val="en-GB"/>
        </w:rPr>
        <w:t>, Volume 38, Issue 4, Pages 590–604, </w:t>
      </w:r>
      <w:hyperlink r:id="rId20" w:history="1">
        <w:r w:rsidRPr="00643F21">
          <w:rPr>
            <w:rStyle w:val="Hyperlink"/>
            <w:rFonts w:asciiTheme="minorHAnsi" w:hAnsiTheme="minorHAnsi" w:cstheme="minorHAnsi"/>
            <w:sz w:val="22"/>
            <w:szCs w:val="22"/>
            <w:lang w:val="en-GB"/>
          </w:rPr>
          <w:t>https://doi.org/10.1093/esr/jcab061</w:t>
        </w:r>
      </w:hyperlink>
    </w:p>
    <w:p w14:paraId="1A223860" w14:textId="77777777" w:rsidR="006221CE" w:rsidRPr="0092002E" w:rsidRDefault="006221CE" w:rsidP="00D57927">
      <w:pPr>
        <w:ind w:left="709" w:hanging="709"/>
        <w:rPr>
          <w:rFonts w:asciiTheme="minorHAnsi" w:hAnsiTheme="minorHAnsi" w:cstheme="minorHAnsi"/>
          <w:sz w:val="22"/>
          <w:szCs w:val="22"/>
          <w:lang w:val="en-GB"/>
        </w:rPr>
      </w:pPr>
      <w:r w:rsidRPr="0092002E">
        <w:rPr>
          <w:rFonts w:asciiTheme="minorHAnsi" w:hAnsiTheme="minorHAnsi" w:cstheme="minorHAnsi"/>
          <w:sz w:val="22"/>
          <w:szCs w:val="22"/>
          <w:lang w:val="en-GB"/>
        </w:rPr>
        <w:t>Haugsgjerd, A. and Kumlin, S (2020), Downbound spiral? economic grievances, perceived social protection and political distrust</w:t>
      </w:r>
      <w:r w:rsidRPr="0092002E">
        <w:rPr>
          <w:rFonts w:asciiTheme="minorHAnsi" w:hAnsiTheme="minorHAnsi" w:cstheme="minorHAnsi"/>
          <w:i/>
          <w:iCs/>
          <w:sz w:val="22"/>
          <w:szCs w:val="22"/>
          <w:lang w:val="en-GB"/>
        </w:rPr>
        <w:t>. West European Politics, 43</w:t>
      </w:r>
      <w:r w:rsidRPr="0092002E">
        <w:rPr>
          <w:rFonts w:asciiTheme="minorHAnsi" w:hAnsiTheme="minorHAnsi" w:cstheme="minorHAnsi"/>
          <w:sz w:val="22"/>
          <w:szCs w:val="22"/>
          <w:lang w:val="en-GB"/>
        </w:rPr>
        <w:t xml:space="preserve">(4): 969–990. </w:t>
      </w:r>
    </w:p>
    <w:p w14:paraId="2DD9710D" w14:textId="77777777" w:rsidR="006221CE" w:rsidRPr="0092002E" w:rsidRDefault="006221CE" w:rsidP="00D57927">
      <w:pPr>
        <w:ind w:left="709" w:hanging="709"/>
        <w:rPr>
          <w:rFonts w:asciiTheme="minorHAnsi" w:hAnsiTheme="minorHAnsi" w:cstheme="minorHAnsi"/>
          <w:sz w:val="22"/>
          <w:szCs w:val="22"/>
          <w:lang w:val="en-GB"/>
        </w:rPr>
      </w:pPr>
      <w:r w:rsidRPr="0092002E">
        <w:rPr>
          <w:rFonts w:asciiTheme="minorHAnsi" w:hAnsiTheme="minorHAnsi" w:cstheme="minorHAnsi"/>
          <w:sz w:val="22"/>
          <w:szCs w:val="22"/>
          <w:lang w:val="en-GB"/>
        </w:rPr>
        <w:t xml:space="preserve">Healy, A., </w:t>
      </w:r>
      <w:r>
        <w:rPr>
          <w:rFonts w:asciiTheme="minorHAnsi" w:hAnsiTheme="minorHAnsi" w:cstheme="minorHAnsi"/>
          <w:sz w:val="22"/>
          <w:szCs w:val="22"/>
          <w:lang w:val="en-GB"/>
        </w:rPr>
        <w:t>and</w:t>
      </w:r>
      <w:r w:rsidRPr="0092002E">
        <w:rPr>
          <w:rFonts w:asciiTheme="minorHAnsi" w:hAnsiTheme="minorHAnsi" w:cstheme="minorHAnsi"/>
          <w:sz w:val="22"/>
          <w:szCs w:val="22"/>
          <w:lang w:val="en-GB"/>
        </w:rPr>
        <w:t xml:space="preserve"> Malhotra, N. (2009). Myopic voters and natural disaster policy. </w:t>
      </w:r>
      <w:r w:rsidRPr="0092002E">
        <w:rPr>
          <w:rFonts w:asciiTheme="minorHAnsi" w:hAnsiTheme="minorHAnsi" w:cstheme="minorHAnsi"/>
          <w:i/>
          <w:iCs/>
          <w:sz w:val="22"/>
          <w:szCs w:val="22"/>
          <w:lang w:val="en-GB"/>
        </w:rPr>
        <w:t>American Political Science Review</w:t>
      </w:r>
      <w:r w:rsidRPr="0092002E">
        <w:rPr>
          <w:rFonts w:asciiTheme="minorHAnsi" w:hAnsiTheme="minorHAnsi" w:cstheme="minorHAnsi"/>
          <w:sz w:val="22"/>
          <w:szCs w:val="22"/>
          <w:lang w:val="en-GB"/>
        </w:rPr>
        <w:t>, </w:t>
      </w:r>
      <w:r w:rsidRPr="0092002E">
        <w:rPr>
          <w:rFonts w:asciiTheme="minorHAnsi" w:hAnsiTheme="minorHAnsi" w:cstheme="minorHAnsi"/>
          <w:i/>
          <w:iCs/>
          <w:sz w:val="22"/>
          <w:szCs w:val="22"/>
          <w:lang w:val="en-GB"/>
        </w:rPr>
        <w:t>103</w:t>
      </w:r>
      <w:r w:rsidRPr="0092002E">
        <w:rPr>
          <w:rFonts w:asciiTheme="minorHAnsi" w:hAnsiTheme="minorHAnsi" w:cstheme="minorHAnsi"/>
          <w:sz w:val="22"/>
          <w:szCs w:val="22"/>
          <w:lang w:val="en-GB"/>
        </w:rPr>
        <w:t>(3), 387-406.</w:t>
      </w:r>
    </w:p>
    <w:p w14:paraId="09D2BFB7" w14:textId="77777777" w:rsidR="006221CE" w:rsidRPr="0092002E" w:rsidRDefault="006221CE" w:rsidP="00D57927">
      <w:pPr>
        <w:ind w:left="709" w:hanging="709"/>
        <w:rPr>
          <w:rFonts w:asciiTheme="minorHAnsi" w:hAnsiTheme="minorHAnsi" w:cstheme="minorHAnsi"/>
          <w:sz w:val="22"/>
          <w:szCs w:val="22"/>
          <w:lang w:val="en-GB"/>
        </w:rPr>
      </w:pPr>
      <w:r w:rsidRPr="0092002E">
        <w:rPr>
          <w:rFonts w:asciiTheme="minorHAnsi" w:hAnsiTheme="minorHAnsi" w:cstheme="minorHAnsi"/>
          <w:sz w:val="22"/>
          <w:szCs w:val="22"/>
          <w:lang w:val="en-GB"/>
        </w:rPr>
        <w:t>Hogg, M. A. (2007). Uncertainty–identity theory. </w:t>
      </w:r>
      <w:r w:rsidRPr="0092002E">
        <w:rPr>
          <w:rFonts w:asciiTheme="minorHAnsi" w:hAnsiTheme="minorHAnsi" w:cstheme="minorHAnsi"/>
          <w:i/>
          <w:iCs/>
          <w:sz w:val="22"/>
          <w:szCs w:val="22"/>
          <w:lang w:val="en-GB"/>
        </w:rPr>
        <w:t>Advances in experimental social psychology</w:t>
      </w:r>
      <w:r w:rsidRPr="0092002E">
        <w:rPr>
          <w:rFonts w:asciiTheme="minorHAnsi" w:hAnsiTheme="minorHAnsi" w:cstheme="minorHAnsi"/>
          <w:sz w:val="22"/>
          <w:szCs w:val="22"/>
          <w:lang w:val="en-GB"/>
        </w:rPr>
        <w:t>, </w:t>
      </w:r>
      <w:r w:rsidRPr="0092002E">
        <w:rPr>
          <w:rFonts w:asciiTheme="minorHAnsi" w:hAnsiTheme="minorHAnsi" w:cstheme="minorHAnsi"/>
          <w:i/>
          <w:iCs/>
          <w:sz w:val="22"/>
          <w:szCs w:val="22"/>
          <w:lang w:val="en-GB"/>
        </w:rPr>
        <w:t>39</w:t>
      </w:r>
      <w:r w:rsidRPr="0092002E">
        <w:rPr>
          <w:rFonts w:asciiTheme="minorHAnsi" w:hAnsiTheme="minorHAnsi" w:cstheme="minorHAnsi"/>
          <w:sz w:val="22"/>
          <w:szCs w:val="22"/>
          <w:lang w:val="en-GB"/>
        </w:rPr>
        <w:t xml:space="preserve">, 69-126. </w:t>
      </w:r>
    </w:p>
    <w:p w14:paraId="75118799" w14:textId="77777777" w:rsidR="006221CE" w:rsidRPr="0092002E" w:rsidRDefault="006221CE" w:rsidP="00D57927">
      <w:pPr>
        <w:ind w:left="709" w:hanging="709"/>
        <w:rPr>
          <w:rFonts w:asciiTheme="minorHAnsi" w:hAnsiTheme="minorHAnsi" w:cstheme="minorHAnsi"/>
          <w:sz w:val="22"/>
          <w:szCs w:val="22"/>
          <w:lang w:val="en-GB"/>
        </w:rPr>
      </w:pPr>
      <w:r w:rsidRPr="0092002E">
        <w:rPr>
          <w:rFonts w:asciiTheme="minorHAnsi" w:hAnsiTheme="minorHAnsi" w:cstheme="minorHAnsi"/>
          <w:sz w:val="22"/>
          <w:szCs w:val="22"/>
          <w:lang w:val="en-GB"/>
        </w:rPr>
        <w:t xml:space="preserve">Jacobs, A. M., </w:t>
      </w:r>
      <w:r>
        <w:rPr>
          <w:rFonts w:asciiTheme="minorHAnsi" w:hAnsiTheme="minorHAnsi" w:cstheme="minorHAnsi"/>
          <w:sz w:val="22"/>
          <w:szCs w:val="22"/>
          <w:lang w:val="en-GB"/>
        </w:rPr>
        <w:t>and</w:t>
      </w:r>
      <w:r w:rsidRPr="0092002E">
        <w:rPr>
          <w:rFonts w:asciiTheme="minorHAnsi" w:hAnsiTheme="minorHAnsi" w:cstheme="minorHAnsi"/>
          <w:sz w:val="22"/>
          <w:szCs w:val="22"/>
          <w:lang w:val="en-GB"/>
        </w:rPr>
        <w:t xml:space="preserve"> Matthews, J. S. (2012). Why do citizens discount the future? Public opinion and the timing of policy consequences. </w:t>
      </w:r>
      <w:r w:rsidRPr="0092002E">
        <w:rPr>
          <w:rFonts w:asciiTheme="minorHAnsi" w:hAnsiTheme="minorHAnsi" w:cstheme="minorHAnsi"/>
          <w:i/>
          <w:iCs/>
          <w:sz w:val="22"/>
          <w:szCs w:val="22"/>
          <w:lang w:val="en-GB"/>
        </w:rPr>
        <w:t>British Journal of Political Science</w:t>
      </w:r>
      <w:r w:rsidRPr="0092002E">
        <w:rPr>
          <w:rFonts w:asciiTheme="minorHAnsi" w:hAnsiTheme="minorHAnsi" w:cstheme="minorHAnsi"/>
          <w:sz w:val="22"/>
          <w:szCs w:val="22"/>
          <w:lang w:val="en-GB"/>
        </w:rPr>
        <w:t>, </w:t>
      </w:r>
      <w:r w:rsidRPr="0092002E">
        <w:rPr>
          <w:rFonts w:asciiTheme="minorHAnsi" w:hAnsiTheme="minorHAnsi" w:cstheme="minorHAnsi"/>
          <w:i/>
          <w:iCs/>
          <w:sz w:val="22"/>
          <w:szCs w:val="22"/>
          <w:lang w:val="en-GB"/>
        </w:rPr>
        <w:t>42</w:t>
      </w:r>
      <w:r w:rsidRPr="0092002E">
        <w:rPr>
          <w:rFonts w:asciiTheme="minorHAnsi" w:hAnsiTheme="minorHAnsi" w:cstheme="minorHAnsi"/>
          <w:sz w:val="22"/>
          <w:szCs w:val="22"/>
          <w:lang w:val="en-GB"/>
        </w:rPr>
        <w:t>(4), 903-935.</w:t>
      </w:r>
    </w:p>
    <w:p w14:paraId="3C8BFAA8" w14:textId="77777777" w:rsidR="006221CE" w:rsidRPr="0092002E" w:rsidRDefault="006221CE" w:rsidP="00D57927">
      <w:pPr>
        <w:ind w:left="709" w:hanging="709"/>
        <w:rPr>
          <w:rFonts w:asciiTheme="minorHAnsi" w:hAnsiTheme="minorHAnsi" w:cstheme="minorHAnsi"/>
          <w:sz w:val="22"/>
          <w:szCs w:val="22"/>
          <w:lang w:val="en-GB"/>
        </w:rPr>
      </w:pPr>
      <w:r w:rsidRPr="0092002E">
        <w:rPr>
          <w:rFonts w:asciiTheme="minorHAnsi" w:hAnsiTheme="minorHAnsi" w:cstheme="minorHAnsi"/>
          <w:sz w:val="22"/>
          <w:szCs w:val="22"/>
          <w:lang w:val="en-GB"/>
        </w:rPr>
        <w:t xml:space="preserve">Janssen, I. (2010) </w:t>
      </w:r>
      <w:r w:rsidRPr="0092002E">
        <w:rPr>
          <w:rFonts w:asciiTheme="minorHAnsi" w:hAnsiTheme="minorHAnsi" w:cstheme="minorHAnsi"/>
          <w:i/>
          <w:sz w:val="22"/>
          <w:szCs w:val="22"/>
          <w:lang w:val="en-GB"/>
        </w:rPr>
        <w:t>Uncertainty management by means of trust</w:t>
      </w:r>
      <w:r w:rsidRPr="0092002E">
        <w:rPr>
          <w:rFonts w:asciiTheme="minorHAnsi" w:hAnsiTheme="minorHAnsi" w:cstheme="minorHAnsi"/>
          <w:sz w:val="22"/>
          <w:szCs w:val="22"/>
          <w:lang w:val="en-GB"/>
        </w:rPr>
        <w:t xml:space="preserve">. PhD thesis, University of Mannheim. </w:t>
      </w:r>
    </w:p>
    <w:p w14:paraId="611BE575" w14:textId="77777777" w:rsidR="006221CE" w:rsidRPr="0092002E" w:rsidRDefault="006221CE" w:rsidP="00D57927">
      <w:pPr>
        <w:ind w:left="709" w:hanging="709"/>
        <w:rPr>
          <w:rFonts w:asciiTheme="minorHAnsi" w:hAnsiTheme="minorHAnsi" w:cstheme="minorHAnsi"/>
          <w:sz w:val="22"/>
          <w:szCs w:val="22"/>
          <w:lang w:val="en-GB"/>
        </w:rPr>
      </w:pPr>
      <w:r w:rsidRPr="0092002E">
        <w:rPr>
          <w:rFonts w:asciiTheme="minorHAnsi" w:hAnsiTheme="minorHAnsi" w:cstheme="minorHAnsi"/>
          <w:sz w:val="22"/>
          <w:szCs w:val="22"/>
          <w:lang w:val="en-GB"/>
        </w:rPr>
        <w:t>Kagan, J. (1972). Motives and development. </w:t>
      </w:r>
      <w:r w:rsidRPr="0092002E">
        <w:rPr>
          <w:rFonts w:asciiTheme="minorHAnsi" w:hAnsiTheme="minorHAnsi" w:cstheme="minorHAnsi"/>
          <w:i/>
          <w:iCs/>
          <w:sz w:val="22"/>
          <w:szCs w:val="22"/>
          <w:lang w:val="en-GB"/>
        </w:rPr>
        <w:t>Journal of personality and social psychology</w:t>
      </w:r>
      <w:r w:rsidRPr="0092002E">
        <w:rPr>
          <w:rFonts w:asciiTheme="minorHAnsi" w:hAnsiTheme="minorHAnsi" w:cstheme="minorHAnsi"/>
          <w:sz w:val="22"/>
          <w:szCs w:val="22"/>
          <w:lang w:val="en-GB"/>
        </w:rPr>
        <w:t>, </w:t>
      </w:r>
      <w:r w:rsidRPr="0092002E">
        <w:rPr>
          <w:rFonts w:asciiTheme="minorHAnsi" w:hAnsiTheme="minorHAnsi" w:cstheme="minorHAnsi"/>
          <w:i/>
          <w:iCs/>
          <w:sz w:val="22"/>
          <w:szCs w:val="22"/>
          <w:lang w:val="en-GB"/>
        </w:rPr>
        <w:t>22</w:t>
      </w:r>
      <w:r w:rsidRPr="0092002E">
        <w:rPr>
          <w:rFonts w:asciiTheme="minorHAnsi" w:hAnsiTheme="minorHAnsi" w:cstheme="minorHAnsi"/>
          <w:sz w:val="22"/>
          <w:szCs w:val="22"/>
          <w:lang w:val="en-GB"/>
        </w:rPr>
        <w:t xml:space="preserve">(1), 51. </w:t>
      </w:r>
    </w:p>
    <w:p w14:paraId="063E9EF6" w14:textId="77777777" w:rsidR="006221CE" w:rsidRPr="0092002E" w:rsidRDefault="006221CE" w:rsidP="00D57927">
      <w:pPr>
        <w:ind w:left="709" w:hanging="709"/>
        <w:rPr>
          <w:rFonts w:asciiTheme="minorHAnsi" w:hAnsiTheme="minorHAnsi" w:cstheme="minorHAnsi"/>
          <w:sz w:val="22"/>
          <w:szCs w:val="22"/>
          <w:lang w:val="en-GB"/>
        </w:rPr>
      </w:pPr>
      <w:r w:rsidRPr="0092002E">
        <w:rPr>
          <w:rFonts w:asciiTheme="minorHAnsi" w:hAnsiTheme="minorHAnsi" w:cstheme="minorHAnsi"/>
          <w:sz w:val="22"/>
          <w:szCs w:val="22"/>
          <w:lang w:val="en-GB"/>
        </w:rPr>
        <w:t xml:space="preserve">Mani, A., Mullainathan, S., Shafir, E., </w:t>
      </w:r>
      <w:r>
        <w:rPr>
          <w:rFonts w:asciiTheme="minorHAnsi" w:hAnsiTheme="minorHAnsi" w:cstheme="minorHAnsi"/>
          <w:sz w:val="22"/>
          <w:szCs w:val="22"/>
          <w:lang w:val="en-GB"/>
        </w:rPr>
        <w:t>and</w:t>
      </w:r>
      <w:r w:rsidRPr="0092002E">
        <w:rPr>
          <w:rFonts w:asciiTheme="minorHAnsi" w:hAnsiTheme="minorHAnsi" w:cstheme="minorHAnsi"/>
          <w:sz w:val="22"/>
          <w:szCs w:val="22"/>
          <w:lang w:val="en-GB"/>
        </w:rPr>
        <w:t xml:space="preserve"> Zhao, J. (2013). Poverty impedes cognitive function. </w:t>
      </w:r>
      <w:r w:rsidRPr="0092002E">
        <w:rPr>
          <w:rFonts w:asciiTheme="minorHAnsi" w:hAnsiTheme="minorHAnsi" w:cstheme="minorHAnsi"/>
          <w:i/>
          <w:iCs/>
          <w:sz w:val="22"/>
          <w:szCs w:val="22"/>
          <w:lang w:val="en-GB"/>
        </w:rPr>
        <w:t>Science, 341(</w:t>
      </w:r>
      <w:r w:rsidRPr="0092002E">
        <w:rPr>
          <w:rFonts w:asciiTheme="minorHAnsi" w:hAnsiTheme="minorHAnsi" w:cstheme="minorHAnsi"/>
          <w:sz w:val="22"/>
          <w:szCs w:val="22"/>
          <w:lang w:val="en-GB"/>
        </w:rPr>
        <w:t>6149), 976-980.</w:t>
      </w:r>
    </w:p>
    <w:p w14:paraId="2B64F499" w14:textId="77777777" w:rsidR="006221CE" w:rsidRPr="0092002E" w:rsidRDefault="006221CE" w:rsidP="00D57927">
      <w:pPr>
        <w:ind w:left="709" w:hanging="709"/>
        <w:rPr>
          <w:rFonts w:asciiTheme="minorHAnsi" w:hAnsiTheme="minorHAnsi" w:cstheme="minorHAnsi"/>
          <w:sz w:val="22"/>
          <w:szCs w:val="22"/>
          <w:lang w:val="en-GB"/>
        </w:rPr>
      </w:pPr>
      <w:r w:rsidRPr="0092002E">
        <w:rPr>
          <w:rFonts w:asciiTheme="minorHAnsi" w:hAnsiTheme="minorHAnsi" w:cstheme="minorHAnsi"/>
          <w:sz w:val="22"/>
          <w:szCs w:val="22"/>
          <w:lang w:val="en-GB"/>
        </w:rPr>
        <w:t>Norris, P. (2017). The conceptual framework of political support. In </w:t>
      </w:r>
      <w:r w:rsidRPr="0092002E">
        <w:rPr>
          <w:rFonts w:asciiTheme="minorHAnsi" w:hAnsiTheme="minorHAnsi" w:cstheme="minorHAnsi"/>
          <w:i/>
          <w:iCs/>
          <w:sz w:val="22"/>
          <w:szCs w:val="22"/>
          <w:lang w:val="en-GB"/>
        </w:rPr>
        <w:t>Handbook on political trust</w:t>
      </w:r>
      <w:r w:rsidRPr="0092002E">
        <w:rPr>
          <w:rFonts w:asciiTheme="minorHAnsi" w:hAnsiTheme="minorHAnsi" w:cstheme="minorHAnsi"/>
          <w:sz w:val="22"/>
          <w:szCs w:val="22"/>
          <w:lang w:val="en-GB"/>
        </w:rPr>
        <w:t> (pp. 19-32). Edward Elgar Publishing.</w:t>
      </w:r>
    </w:p>
    <w:p w14:paraId="4462551A" w14:textId="4D186A3F" w:rsidR="00E82FF1" w:rsidRDefault="00E82FF1" w:rsidP="00D57927">
      <w:pPr>
        <w:ind w:left="709" w:hanging="709"/>
        <w:rPr>
          <w:rFonts w:asciiTheme="minorHAnsi" w:hAnsiTheme="minorHAnsi" w:cstheme="minorHAnsi"/>
          <w:sz w:val="22"/>
          <w:szCs w:val="22"/>
          <w:lang w:val="en-US"/>
        </w:rPr>
      </w:pPr>
      <w:r w:rsidRPr="00685697">
        <w:rPr>
          <w:rFonts w:asciiTheme="minorHAnsi" w:hAnsiTheme="minorHAnsi" w:cstheme="minorHAnsi"/>
          <w:sz w:val="22"/>
          <w:szCs w:val="22"/>
          <w:lang w:val="de-DE"/>
        </w:rPr>
        <w:t xml:space="preserve">Rothstein, B., &amp; Uslaner, E.M. (2005). </w:t>
      </w:r>
      <w:r w:rsidRPr="00685697">
        <w:rPr>
          <w:rFonts w:asciiTheme="minorHAnsi" w:hAnsiTheme="minorHAnsi" w:cstheme="minorHAnsi"/>
          <w:sz w:val="22"/>
          <w:szCs w:val="22"/>
          <w:lang w:val="en-US"/>
        </w:rPr>
        <w:t>All for</w:t>
      </w:r>
      <w:r>
        <w:rPr>
          <w:rFonts w:asciiTheme="minorHAnsi" w:hAnsiTheme="minorHAnsi" w:cstheme="minorHAnsi"/>
          <w:sz w:val="22"/>
          <w:szCs w:val="22"/>
          <w:lang w:val="en-US"/>
        </w:rPr>
        <w:t xml:space="preserve"> all – equality, corruption and social trust. </w:t>
      </w:r>
      <w:r>
        <w:rPr>
          <w:rFonts w:asciiTheme="minorHAnsi" w:hAnsiTheme="minorHAnsi" w:cstheme="minorHAnsi"/>
          <w:i/>
          <w:iCs/>
          <w:sz w:val="22"/>
          <w:szCs w:val="22"/>
          <w:lang w:val="en-US"/>
        </w:rPr>
        <w:t xml:space="preserve">World Politics, </w:t>
      </w:r>
      <w:r w:rsidRPr="00685697">
        <w:rPr>
          <w:rFonts w:asciiTheme="minorHAnsi" w:hAnsiTheme="minorHAnsi" w:cstheme="minorHAnsi"/>
          <w:sz w:val="22"/>
          <w:szCs w:val="22"/>
          <w:lang w:val="en-US"/>
        </w:rPr>
        <w:t>58</w:t>
      </w:r>
      <w:r>
        <w:rPr>
          <w:rFonts w:asciiTheme="minorHAnsi" w:hAnsiTheme="minorHAnsi" w:cstheme="minorHAnsi"/>
          <w:sz w:val="22"/>
          <w:szCs w:val="22"/>
          <w:lang w:val="en-US"/>
        </w:rPr>
        <w:t>(1), 41-72.</w:t>
      </w:r>
    </w:p>
    <w:p w14:paraId="6E0247E5" w14:textId="1BD1381C" w:rsidR="009244F6" w:rsidRDefault="009244F6" w:rsidP="00D57927">
      <w:pPr>
        <w:ind w:left="709" w:hanging="709"/>
        <w:rPr>
          <w:rFonts w:asciiTheme="minorHAnsi" w:hAnsiTheme="minorHAnsi" w:cstheme="minorHAnsi"/>
          <w:sz w:val="22"/>
          <w:szCs w:val="22"/>
          <w:lang w:val="en-GB"/>
        </w:rPr>
      </w:pPr>
      <w:r w:rsidRPr="00685697">
        <w:rPr>
          <w:rFonts w:asciiTheme="minorHAnsi" w:hAnsiTheme="minorHAnsi" w:cstheme="minorHAnsi"/>
          <w:sz w:val="22"/>
          <w:szCs w:val="22"/>
          <w:lang w:val="en-US"/>
        </w:rPr>
        <w:t xml:space="preserve">Putnam, R., Leonardo, R., &amp; Nanetti, R. (1993). </w:t>
      </w:r>
      <w:r>
        <w:rPr>
          <w:rFonts w:asciiTheme="minorHAnsi" w:hAnsiTheme="minorHAnsi" w:cstheme="minorHAnsi"/>
          <w:i/>
          <w:iCs/>
          <w:sz w:val="22"/>
          <w:szCs w:val="22"/>
          <w:lang w:val="en-GB"/>
        </w:rPr>
        <w:t xml:space="preserve">Making Democracy Work. </w:t>
      </w:r>
      <w:r>
        <w:rPr>
          <w:rFonts w:asciiTheme="minorHAnsi" w:hAnsiTheme="minorHAnsi" w:cstheme="minorHAnsi"/>
          <w:sz w:val="22"/>
          <w:szCs w:val="22"/>
          <w:lang w:val="en-GB"/>
        </w:rPr>
        <w:t>Princeton University Press.</w:t>
      </w:r>
    </w:p>
    <w:p w14:paraId="5B085205" w14:textId="55064E9A" w:rsidR="006221CE" w:rsidRPr="0092002E" w:rsidRDefault="006221CE" w:rsidP="00D57927">
      <w:pPr>
        <w:ind w:left="709" w:hanging="709"/>
        <w:rPr>
          <w:rFonts w:asciiTheme="minorHAnsi" w:hAnsiTheme="minorHAnsi" w:cstheme="minorHAnsi"/>
          <w:sz w:val="22"/>
          <w:szCs w:val="22"/>
          <w:lang w:val="en-GB"/>
        </w:rPr>
      </w:pPr>
      <w:r w:rsidRPr="0092002E">
        <w:rPr>
          <w:rFonts w:asciiTheme="minorHAnsi" w:hAnsiTheme="minorHAnsi" w:cstheme="minorHAnsi"/>
          <w:sz w:val="22"/>
          <w:szCs w:val="22"/>
          <w:lang w:val="en-GB"/>
        </w:rPr>
        <w:t>Siegrist, M. (2012), Trust and risk perception: A critical review of the literature</w:t>
      </w:r>
      <w:r w:rsidRPr="0092002E">
        <w:rPr>
          <w:rFonts w:asciiTheme="minorHAnsi" w:hAnsiTheme="minorHAnsi" w:cstheme="minorHAnsi"/>
          <w:i/>
          <w:iCs/>
          <w:sz w:val="22"/>
          <w:szCs w:val="22"/>
          <w:lang w:val="en-GB"/>
        </w:rPr>
        <w:t>. Risk analysis, 41</w:t>
      </w:r>
      <w:r w:rsidRPr="0092002E">
        <w:rPr>
          <w:rFonts w:asciiTheme="minorHAnsi" w:hAnsiTheme="minorHAnsi" w:cstheme="minorHAnsi"/>
          <w:sz w:val="22"/>
          <w:szCs w:val="22"/>
          <w:lang w:val="en-GB"/>
        </w:rPr>
        <w:t>(3): 480–490.</w:t>
      </w:r>
    </w:p>
    <w:p w14:paraId="693F6BBF" w14:textId="221329D7" w:rsidR="006221CE" w:rsidRDefault="006221CE" w:rsidP="00831E42">
      <w:pPr>
        <w:ind w:left="709" w:hanging="709"/>
        <w:rPr>
          <w:rFonts w:asciiTheme="minorHAnsi" w:hAnsiTheme="minorHAnsi" w:cstheme="minorHAnsi"/>
          <w:sz w:val="22"/>
          <w:szCs w:val="22"/>
          <w:lang w:val="en-GB"/>
        </w:rPr>
      </w:pPr>
      <w:r w:rsidRPr="0092002E">
        <w:rPr>
          <w:rFonts w:asciiTheme="minorHAnsi" w:hAnsiTheme="minorHAnsi" w:cstheme="minorHAnsi"/>
          <w:sz w:val="22"/>
          <w:szCs w:val="22"/>
          <w:lang w:val="en-GB"/>
        </w:rPr>
        <w:t xml:space="preserve">Wroe, A. (2016), Economic insecurity and political trust in the united states. </w:t>
      </w:r>
      <w:r w:rsidRPr="0092002E">
        <w:rPr>
          <w:rFonts w:asciiTheme="minorHAnsi" w:hAnsiTheme="minorHAnsi" w:cstheme="minorHAnsi"/>
          <w:i/>
          <w:iCs/>
          <w:sz w:val="22"/>
          <w:szCs w:val="22"/>
          <w:lang w:val="en-GB"/>
        </w:rPr>
        <w:t>American Politics Research, 44</w:t>
      </w:r>
      <w:r w:rsidRPr="0092002E">
        <w:rPr>
          <w:rFonts w:asciiTheme="minorHAnsi" w:hAnsiTheme="minorHAnsi" w:cstheme="minorHAnsi"/>
          <w:sz w:val="22"/>
          <w:szCs w:val="22"/>
          <w:lang w:val="en-GB"/>
        </w:rPr>
        <w:t xml:space="preserve"> (1):131–163.</w:t>
      </w:r>
    </w:p>
    <w:p w14:paraId="5438EA6E" w14:textId="34EE774E" w:rsidR="009244F6" w:rsidRPr="00685697" w:rsidRDefault="009244F6" w:rsidP="00831E42">
      <w:pPr>
        <w:ind w:left="709" w:hanging="709"/>
        <w:rPr>
          <w:rFonts w:asciiTheme="minorHAnsi" w:hAnsiTheme="minorHAnsi" w:cstheme="minorHAnsi"/>
          <w:sz w:val="22"/>
          <w:szCs w:val="22"/>
          <w:lang w:val="en-US"/>
        </w:rPr>
      </w:pPr>
      <w:r w:rsidRPr="00685697">
        <w:rPr>
          <w:rFonts w:asciiTheme="minorHAnsi" w:hAnsiTheme="minorHAnsi" w:cstheme="minorHAnsi"/>
          <w:sz w:val="22"/>
          <w:szCs w:val="22"/>
        </w:rPr>
        <w:t>Zmerli, S., &amp; van der Meer,</w:t>
      </w:r>
      <w:r>
        <w:rPr>
          <w:rFonts w:asciiTheme="minorHAnsi" w:hAnsiTheme="minorHAnsi" w:cstheme="minorHAnsi"/>
          <w:sz w:val="22"/>
          <w:szCs w:val="22"/>
        </w:rPr>
        <w:t xml:space="preserve"> T.W.G. (eds.) </w:t>
      </w:r>
      <w:r w:rsidRPr="00685697">
        <w:rPr>
          <w:rFonts w:asciiTheme="minorHAnsi" w:hAnsiTheme="minorHAnsi" w:cstheme="minorHAnsi"/>
          <w:sz w:val="22"/>
          <w:szCs w:val="22"/>
          <w:lang w:val="en-US"/>
        </w:rPr>
        <w:t xml:space="preserve">(2017). </w:t>
      </w:r>
      <w:r w:rsidRPr="00685697">
        <w:rPr>
          <w:rFonts w:asciiTheme="minorHAnsi" w:hAnsiTheme="minorHAnsi" w:cstheme="minorHAnsi"/>
          <w:i/>
          <w:iCs/>
          <w:sz w:val="22"/>
          <w:szCs w:val="22"/>
          <w:lang w:val="en-US"/>
        </w:rPr>
        <w:t>Handbook on Political Trust</w:t>
      </w:r>
      <w:r w:rsidRPr="00685697">
        <w:rPr>
          <w:rFonts w:asciiTheme="minorHAnsi" w:hAnsiTheme="minorHAnsi" w:cstheme="minorHAnsi"/>
          <w:sz w:val="22"/>
          <w:szCs w:val="22"/>
          <w:lang w:val="en-US"/>
        </w:rPr>
        <w:t>. Edward E</w:t>
      </w:r>
      <w:r>
        <w:rPr>
          <w:rFonts w:asciiTheme="minorHAnsi" w:hAnsiTheme="minorHAnsi" w:cstheme="minorHAnsi"/>
          <w:sz w:val="22"/>
          <w:szCs w:val="22"/>
          <w:lang w:val="en-US"/>
        </w:rPr>
        <w:t xml:space="preserve">lgar Publishing. </w:t>
      </w:r>
    </w:p>
    <w:sectPr w:rsidR="009244F6" w:rsidRPr="00685697">
      <w:footerReference w:type="even"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BDD7" w14:textId="77777777" w:rsidR="003166BA" w:rsidRDefault="003166BA" w:rsidP="003D3625">
      <w:r>
        <w:separator/>
      </w:r>
    </w:p>
  </w:endnote>
  <w:endnote w:type="continuationSeparator" w:id="0">
    <w:p w14:paraId="0E60F875" w14:textId="77777777" w:rsidR="003166BA" w:rsidRDefault="003166BA" w:rsidP="003D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3475312"/>
      <w:docPartObj>
        <w:docPartGallery w:val="Page Numbers (Bottom of Page)"/>
        <w:docPartUnique/>
      </w:docPartObj>
    </w:sdtPr>
    <w:sdtContent>
      <w:p w14:paraId="7440C3DE" w14:textId="6BADD9E8" w:rsidR="00C2309E" w:rsidRDefault="00C2309E" w:rsidP="005704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FE1A7" w14:textId="77777777" w:rsidR="00C2309E" w:rsidRDefault="00C2309E" w:rsidP="00C230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318616"/>
      <w:docPartObj>
        <w:docPartGallery w:val="Page Numbers (Bottom of Page)"/>
        <w:docPartUnique/>
      </w:docPartObj>
    </w:sdtPr>
    <w:sdtContent>
      <w:p w14:paraId="539A3A55" w14:textId="049F6A76" w:rsidR="00C2309E" w:rsidRDefault="00C2309E" w:rsidP="005704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C02D64" w14:textId="77777777" w:rsidR="00C2309E" w:rsidRDefault="00C2309E" w:rsidP="00C230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F779" w14:textId="77777777" w:rsidR="003166BA" w:rsidRDefault="003166BA" w:rsidP="003D3625">
      <w:r>
        <w:separator/>
      </w:r>
    </w:p>
  </w:footnote>
  <w:footnote w:type="continuationSeparator" w:id="0">
    <w:p w14:paraId="551F278B" w14:textId="77777777" w:rsidR="003166BA" w:rsidRDefault="003166BA" w:rsidP="003D3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91E98"/>
    <w:multiLevelType w:val="multilevel"/>
    <w:tmpl w:val="DC44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876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96"/>
    <w:rsid w:val="00054F77"/>
    <w:rsid w:val="000A4DB1"/>
    <w:rsid w:val="000D66D4"/>
    <w:rsid w:val="001166C6"/>
    <w:rsid w:val="00151DBC"/>
    <w:rsid w:val="001818B9"/>
    <w:rsid w:val="001966DC"/>
    <w:rsid w:val="00281609"/>
    <w:rsid w:val="00282C40"/>
    <w:rsid w:val="002A0E3A"/>
    <w:rsid w:val="002D5B42"/>
    <w:rsid w:val="003166BA"/>
    <w:rsid w:val="003220B0"/>
    <w:rsid w:val="00356026"/>
    <w:rsid w:val="003663C7"/>
    <w:rsid w:val="003741C8"/>
    <w:rsid w:val="0037696A"/>
    <w:rsid w:val="003D3625"/>
    <w:rsid w:val="003D4568"/>
    <w:rsid w:val="00403E02"/>
    <w:rsid w:val="0048017B"/>
    <w:rsid w:val="00485C39"/>
    <w:rsid w:val="00490A84"/>
    <w:rsid w:val="004A4ADE"/>
    <w:rsid w:val="004A79E6"/>
    <w:rsid w:val="004E3551"/>
    <w:rsid w:val="004F1C33"/>
    <w:rsid w:val="005039A6"/>
    <w:rsid w:val="00520359"/>
    <w:rsid w:val="0055031F"/>
    <w:rsid w:val="00567802"/>
    <w:rsid w:val="005738C7"/>
    <w:rsid w:val="005C15AE"/>
    <w:rsid w:val="005C3E4C"/>
    <w:rsid w:val="005E34A8"/>
    <w:rsid w:val="005F5F8E"/>
    <w:rsid w:val="006221CE"/>
    <w:rsid w:val="00643F21"/>
    <w:rsid w:val="00674E93"/>
    <w:rsid w:val="00685697"/>
    <w:rsid w:val="0069307E"/>
    <w:rsid w:val="006A479C"/>
    <w:rsid w:val="006D77D4"/>
    <w:rsid w:val="006E2390"/>
    <w:rsid w:val="0075228B"/>
    <w:rsid w:val="007529C1"/>
    <w:rsid w:val="007731EA"/>
    <w:rsid w:val="00774B5F"/>
    <w:rsid w:val="007C6A35"/>
    <w:rsid w:val="007F0FD7"/>
    <w:rsid w:val="00802E56"/>
    <w:rsid w:val="008039F3"/>
    <w:rsid w:val="00805F96"/>
    <w:rsid w:val="00807BB5"/>
    <w:rsid w:val="00830547"/>
    <w:rsid w:val="00831E42"/>
    <w:rsid w:val="008913E1"/>
    <w:rsid w:val="008A33B9"/>
    <w:rsid w:val="008A5C41"/>
    <w:rsid w:val="008B66CD"/>
    <w:rsid w:val="008D17F7"/>
    <w:rsid w:val="008E03B7"/>
    <w:rsid w:val="009177B9"/>
    <w:rsid w:val="0092002E"/>
    <w:rsid w:val="009244F6"/>
    <w:rsid w:val="009371CE"/>
    <w:rsid w:val="00945C72"/>
    <w:rsid w:val="009513F6"/>
    <w:rsid w:val="00957917"/>
    <w:rsid w:val="009828F0"/>
    <w:rsid w:val="009B2840"/>
    <w:rsid w:val="009B46FF"/>
    <w:rsid w:val="009C0036"/>
    <w:rsid w:val="009C14BD"/>
    <w:rsid w:val="009C584F"/>
    <w:rsid w:val="009D3EB1"/>
    <w:rsid w:val="009F75DE"/>
    <w:rsid w:val="00A15316"/>
    <w:rsid w:val="00A41C7D"/>
    <w:rsid w:val="00A44AD6"/>
    <w:rsid w:val="00A74A2E"/>
    <w:rsid w:val="00AA41BC"/>
    <w:rsid w:val="00AB1CFC"/>
    <w:rsid w:val="00AE3BA6"/>
    <w:rsid w:val="00B037D8"/>
    <w:rsid w:val="00B447C6"/>
    <w:rsid w:val="00B55637"/>
    <w:rsid w:val="00BA10BD"/>
    <w:rsid w:val="00BB28D7"/>
    <w:rsid w:val="00BF02D5"/>
    <w:rsid w:val="00C2309E"/>
    <w:rsid w:val="00C461A2"/>
    <w:rsid w:val="00C51FE5"/>
    <w:rsid w:val="00C5576B"/>
    <w:rsid w:val="00C60A00"/>
    <w:rsid w:val="00C677FB"/>
    <w:rsid w:val="00C817F0"/>
    <w:rsid w:val="00C8403D"/>
    <w:rsid w:val="00CA72C3"/>
    <w:rsid w:val="00CD5EF5"/>
    <w:rsid w:val="00CF598A"/>
    <w:rsid w:val="00D21FD0"/>
    <w:rsid w:val="00D26F4A"/>
    <w:rsid w:val="00D57927"/>
    <w:rsid w:val="00D76D60"/>
    <w:rsid w:val="00DB1299"/>
    <w:rsid w:val="00DD7445"/>
    <w:rsid w:val="00DF2152"/>
    <w:rsid w:val="00E05C66"/>
    <w:rsid w:val="00E16FF3"/>
    <w:rsid w:val="00E40517"/>
    <w:rsid w:val="00E42118"/>
    <w:rsid w:val="00E436F7"/>
    <w:rsid w:val="00E4401E"/>
    <w:rsid w:val="00E70696"/>
    <w:rsid w:val="00E70965"/>
    <w:rsid w:val="00E82FF1"/>
    <w:rsid w:val="00E8533D"/>
    <w:rsid w:val="00E94710"/>
    <w:rsid w:val="00EA6EAF"/>
    <w:rsid w:val="00EC7ABE"/>
    <w:rsid w:val="00EE0D1A"/>
    <w:rsid w:val="00EE6CF2"/>
    <w:rsid w:val="00F07839"/>
    <w:rsid w:val="00F41339"/>
    <w:rsid w:val="00F42006"/>
    <w:rsid w:val="00F5659A"/>
    <w:rsid w:val="00F708AC"/>
    <w:rsid w:val="00FB721A"/>
    <w:rsid w:val="00FD0F2E"/>
    <w:rsid w:val="00FE50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3635"/>
  <w15:chartTrackingRefBased/>
  <w15:docId w15:val="{D0255234-FCA7-4C81-930B-AAC2C539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7F7"/>
    <w:rPr>
      <w:color w:val="0000FF"/>
      <w:u w:val="single"/>
    </w:rPr>
  </w:style>
  <w:style w:type="paragraph" w:styleId="NormalWeb">
    <w:name w:val="Normal (Web)"/>
    <w:basedOn w:val="Normal"/>
    <w:uiPriority w:val="99"/>
    <w:semiHidden/>
    <w:unhideWhenUsed/>
    <w:rsid w:val="008D17F7"/>
    <w:pPr>
      <w:spacing w:before="100" w:beforeAutospacing="1" w:after="100" w:afterAutospacing="1"/>
    </w:pPr>
  </w:style>
  <w:style w:type="character" w:customStyle="1" w:styleId="anchor-text">
    <w:name w:val="anchor-text"/>
    <w:basedOn w:val="DefaultParagraphFont"/>
    <w:rsid w:val="00B447C6"/>
  </w:style>
  <w:style w:type="paragraph" w:styleId="FootnoteText">
    <w:name w:val="footnote text"/>
    <w:basedOn w:val="Normal"/>
    <w:link w:val="FootnoteTextChar"/>
    <w:uiPriority w:val="99"/>
    <w:semiHidden/>
    <w:unhideWhenUsed/>
    <w:rsid w:val="003D3625"/>
    <w:rPr>
      <w:sz w:val="20"/>
      <w:szCs w:val="20"/>
    </w:rPr>
  </w:style>
  <w:style w:type="character" w:customStyle="1" w:styleId="FootnoteTextChar">
    <w:name w:val="Footnote Text Char"/>
    <w:basedOn w:val="DefaultParagraphFont"/>
    <w:link w:val="FootnoteText"/>
    <w:uiPriority w:val="99"/>
    <w:semiHidden/>
    <w:rsid w:val="003D3625"/>
    <w:rPr>
      <w:rFonts w:ascii="Calibri" w:hAnsi="Calibri" w:cs="Calibri"/>
      <w:sz w:val="20"/>
      <w:szCs w:val="20"/>
      <w:lang w:eastAsia="nl-NL"/>
    </w:rPr>
  </w:style>
  <w:style w:type="character" w:styleId="FootnoteReference">
    <w:name w:val="footnote reference"/>
    <w:basedOn w:val="DefaultParagraphFont"/>
    <w:uiPriority w:val="99"/>
    <w:semiHidden/>
    <w:unhideWhenUsed/>
    <w:rsid w:val="003D3625"/>
    <w:rPr>
      <w:vertAlign w:val="superscript"/>
    </w:rPr>
  </w:style>
  <w:style w:type="character" w:styleId="UnresolvedMention">
    <w:name w:val="Unresolved Mention"/>
    <w:basedOn w:val="DefaultParagraphFont"/>
    <w:uiPriority w:val="99"/>
    <w:semiHidden/>
    <w:unhideWhenUsed/>
    <w:rsid w:val="00490A84"/>
    <w:rPr>
      <w:color w:val="605E5C"/>
      <w:shd w:val="clear" w:color="auto" w:fill="E1DFDD"/>
    </w:rPr>
  </w:style>
  <w:style w:type="character" w:styleId="FollowedHyperlink">
    <w:name w:val="FollowedHyperlink"/>
    <w:basedOn w:val="DefaultParagraphFont"/>
    <w:uiPriority w:val="99"/>
    <w:semiHidden/>
    <w:unhideWhenUsed/>
    <w:rsid w:val="009828F0"/>
    <w:rPr>
      <w:color w:val="954F72" w:themeColor="followedHyperlink"/>
      <w:u w:val="single"/>
    </w:rPr>
  </w:style>
  <w:style w:type="paragraph" w:styleId="Footer">
    <w:name w:val="footer"/>
    <w:basedOn w:val="Normal"/>
    <w:link w:val="FooterChar"/>
    <w:uiPriority w:val="99"/>
    <w:unhideWhenUsed/>
    <w:rsid w:val="00C2309E"/>
    <w:pPr>
      <w:tabs>
        <w:tab w:val="center" w:pos="4680"/>
        <w:tab w:val="right" w:pos="9360"/>
      </w:tabs>
    </w:pPr>
  </w:style>
  <w:style w:type="character" w:customStyle="1" w:styleId="FooterChar">
    <w:name w:val="Footer Char"/>
    <w:basedOn w:val="DefaultParagraphFont"/>
    <w:link w:val="Footer"/>
    <w:uiPriority w:val="99"/>
    <w:rsid w:val="00C2309E"/>
    <w:rPr>
      <w:rFonts w:ascii="Calibri" w:hAnsi="Calibri" w:cs="Calibri"/>
      <w:lang w:eastAsia="nl-NL"/>
    </w:rPr>
  </w:style>
  <w:style w:type="character" w:styleId="PageNumber">
    <w:name w:val="page number"/>
    <w:basedOn w:val="DefaultParagraphFont"/>
    <w:uiPriority w:val="99"/>
    <w:semiHidden/>
    <w:unhideWhenUsed/>
    <w:rsid w:val="00C2309E"/>
  </w:style>
  <w:style w:type="paragraph" w:styleId="Header">
    <w:name w:val="header"/>
    <w:basedOn w:val="Normal"/>
    <w:link w:val="HeaderChar"/>
    <w:uiPriority w:val="99"/>
    <w:unhideWhenUsed/>
    <w:rsid w:val="008E03B7"/>
    <w:pPr>
      <w:tabs>
        <w:tab w:val="center" w:pos="4680"/>
        <w:tab w:val="right" w:pos="9360"/>
      </w:tabs>
    </w:pPr>
  </w:style>
  <w:style w:type="character" w:customStyle="1" w:styleId="HeaderChar">
    <w:name w:val="Header Char"/>
    <w:basedOn w:val="DefaultParagraphFont"/>
    <w:link w:val="Header"/>
    <w:uiPriority w:val="99"/>
    <w:rsid w:val="008E03B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E5057"/>
    <w:rPr>
      <w:sz w:val="16"/>
      <w:szCs w:val="16"/>
    </w:rPr>
  </w:style>
  <w:style w:type="paragraph" w:styleId="CommentText">
    <w:name w:val="annotation text"/>
    <w:basedOn w:val="Normal"/>
    <w:link w:val="CommentTextChar"/>
    <w:uiPriority w:val="99"/>
    <w:semiHidden/>
    <w:unhideWhenUsed/>
    <w:rsid w:val="00FE5057"/>
    <w:rPr>
      <w:sz w:val="20"/>
      <w:szCs w:val="20"/>
    </w:rPr>
  </w:style>
  <w:style w:type="character" w:customStyle="1" w:styleId="CommentTextChar">
    <w:name w:val="Comment Text Char"/>
    <w:basedOn w:val="DefaultParagraphFont"/>
    <w:link w:val="CommentText"/>
    <w:uiPriority w:val="99"/>
    <w:semiHidden/>
    <w:rsid w:val="00FE50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5057"/>
    <w:rPr>
      <w:b/>
      <w:bCs/>
    </w:rPr>
  </w:style>
  <w:style w:type="character" w:customStyle="1" w:styleId="CommentSubjectChar">
    <w:name w:val="Comment Subject Char"/>
    <w:basedOn w:val="CommentTextChar"/>
    <w:link w:val="CommentSubject"/>
    <w:uiPriority w:val="99"/>
    <w:semiHidden/>
    <w:rsid w:val="00FE5057"/>
    <w:rPr>
      <w:rFonts w:ascii="Times New Roman" w:eastAsia="Times New Roman" w:hAnsi="Times New Roman" w:cs="Times New Roman"/>
      <w:b/>
      <w:bCs/>
      <w:sz w:val="20"/>
      <w:szCs w:val="20"/>
    </w:rPr>
  </w:style>
  <w:style w:type="paragraph" w:styleId="Revision">
    <w:name w:val="Revision"/>
    <w:hidden/>
    <w:uiPriority w:val="99"/>
    <w:semiHidden/>
    <w:rsid w:val="007C6A3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2910">
      <w:bodyDiv w:val="1"/>
      <w:marLeft w:val="0"/>
      <w:marRight w:val="0"/>
      <w:marTop w:val="0"/>
      <w:marBottom w:val="0"/>
      <w:divBdr>
        <w:top w:val="none" w:sz="0" w:space="0" w:color="auto"/>
        <w:left w:val="none" w:sz="0" w:space="0" w:color="auto"/>
        <w:bottom w:val="none" w:sz="0" w:space="0" w:color="auto"/>
        <w:right w:val="none" w:sz="0" w:space="0" w:color="auto"/>
      </w:divBdr>
    </w:div>
    <w:div w:id="580338687">
      <w:bodyDiv w:val="1"/>
      <w:marLeft w:val="0"/>
      <w:marRight w:val="0"/>
      <w:marTop w:val="0"/>
      <w:marBottom w:val="0"/>
      <w:divBdr>
        <w:top w:val="none" w:sz="0" w:space="0" w:color="auto"/>
        <w:left w:val="none" w:sz="0" w:space="0" w:color="auto"/>
        <w:bottom w:val="none" w:sz="0" w:space="0" w:color="auto"/>
        <w:right w:val="none" w:sz="0" w:space="0" w:color="auto"/>
      </w:divBdr>
    </w:div>
    <w:div w:id="718435699">
      <w:bodyDiv w:val="1"/>
      <w:marLeft w:val="0"/>
      <w:marRight w:val="0"/>
      <w:marTop w:val="0"/>
      <w:marBottom w:val="0"/>
      <w:divBdr>
        <w:top w:val="none" w:sz="0" w:space="0" w:color="auto"/>
        <w:left w:val="none" w:sz="0" w:space="0" w:color="auto"/>
        <w:bottom w:val="none" w:sz="0" w:space="0" w:color="auto"/>
        <w:right w:val="none" w:sz="0" w:space="0" w:color="auto"/>
      </w:divBdr>
      <w:divsChild>
        <w:div w:id="1030647699">
          <w:marLeft w:val="0"/>
          <w:marRight w:val="0"/>
          <w:marTop w:val="0"/>
          <w:marBottom w:val="0"/>
          <w:divBdr>
            <w:top w:val="none" w:sz="0" w:space="0" w:color="auto"/>
            <w:left w:val="none" w:sz="0" w:space="0" w:color="auto"/>
            <w:bottom w:val="none" w:sz="0" w:space="0" w:color="auto"/>
            <w:right w:val="none" w:sz="0" w:space="0" w:color="auto"/>
          </w:divBdr>
        </w:div>
      </w:divsChild>
    </w:div>
    <w:div w:id="768164050">
      <w:bodyDiv w:val="1"/>
      <w:marLeft w:val="0"/>
      <w:marRight w:val="0"/>
      <w:marTop w:val="0"/>
      <w:marBottom w:val="0"/>
      <w:divBdr>
        <w:top w:val="none" w:sz="0" w:space="0" w:color="auto"/>
        <w:left w:val="none" w:sz="0" w:space="0" w:color="auto"/>
        <w:bottom w:val="none" w:sz="0" w:space="0" w:color="auto"/>
        <w:right w:val="none" w:sz="0" w:space="0" w:color="auto"/>
      </w:divBdr>
    </w:div>
    <w:div w:id="782115840">
      <w:bodyDiv w:val="1"/>
      <w:marLeft w:val="0"/>
      <w:marRight w:val="0"/>
      <w:marTop w:val="0"/>
      <w:marBottom w:val="0"/>
      <w:divBdr>
        <w:top w:val="none" w:sz="0" w:space="0" w:color="auto"/>
        <w:left w:val="none" w:sz="0" w:space="0" w:color="auto"/>
        <w:bottom w:val="none" w:sz="0" w:space="0" w:color="auto"/>
        <w:right w:val="none" w:sz="0" w:space="0" w:color="auto"/>
      </w:divBdr>
    </w:div>
    <w:div w:id="908224174">
      <w:bodyDiv w:val="1"/>
      <w:marLeft w:val="0"/>
      <w:marRight w:val="0"/>
      <w:marTop w:val="0"/>
      <w:marBottom w:val="0"/>
      <w:divBdr>
        <w:top w:val="none" w:sz="0" w:space="0" w:color="auto"/>
        <w:left w:val="none" w:sz="0" w:space="0" w:color="auto"/>
        <w:bottom w:val="none" w:sz="0" w:space="0" w:color="auto"/>
        <w:right w:val="none" w:sz="0" w:space="0" w:color="auto"/>
      </w:divBdr>
    </w:div>
    <w:div w:id="999961650">
      <w:bodyDiv w:val="1"/>
      <w:marLeft w:val="0"/>
      <w:marRight w:val="0"/>
      <w:marTop w:val="0"/>
      <w:marBottom w:val="0"/>
      <w:divBdr>
        <w:top w:val="none" w:sz="0" w:space="0" w:color="auto"/>
        <w:left w:val="none" w:sz="0" w:space="0" w:color="auto"/>
        <w:bottom w:val="none" w:sz="0" w:space="0" w:color="auto"/>
        <w:right w:val="none" w:sz="0" w:space="0" w:color="auto"/>
      </w:divBdr>
    </w:div>
    <w:div w:id="1284077034">
      <w:bodyDiv w:val="1"/>
      <w:marLeft w:val="0"/>
      <w:marRight w:val="0"/>
      <w:marTop w:val="0"/>
      <w:marBottom w:val="0"/>
      <w:divBdr>
        <w:top w:val="none" w:sz="0" w:space="0" w:color="auto"/>
        <w:left w:val="none" w:sz="0" w:space="0" w:color="auto"/>
        <w:bottom w:val="none" w:sz="0" w:space="0" w:color="auto"/>
        <w:right w:val="none" w:sz="0" w:space="0" w:color="auto"/>
      </w:divBdr>
      <w:divsChild>
        <w:div w:id="1144542167">
          <w:marLeft w:val="0"/>
          <w:marRight w:val="0"/>
          <w:marTop w:val="0"/>
          <w:marBottom w:val="0"/>
          <w:divBdr>
            <w:top w:val="none" w:sz="0" w:space="0" w:color="auto"/>
            <w:left w:val="none" w:sz="0" w:space="0" w:color="auto"/>
            <w:bottom w:val="none" w:sz="0" w:space="0" w:color="auto"/>
            <w:right w:val="none" w:sz="0" w:space="0" w:color="auto"/>
          </w:divBdr>
        </w:div>
        <w:div w:id="244649196">
          <w:marLeft w:val="0"/>
          <w:marRight w:val="0"/>
          <w:marTop w:val="0"/>
          <w:marBottom w:val="0"/>
          <w:divBdr>
            <w:top w:val="none" w:sz="0" w:space="0" w:color="auto"/>
            <w:left w:val="none" w:sz="0" w:space="0" w:color="auto"/>
            <w:bottom w:val="none" w:sz="0" w:space="0" w:color="auto"/>
            <w:right w:val="none" w:sz="0" w:space="0" w:color="auto"/>
          </w:divBdr>
        </w:div>
      </w:divsChild>
    </w:div>
    <w:div w:id="1330518833">
      <w:bodyDiv w:val="1"/>
      <w:marLeft w:val="0"/>
      <w:marRight w:val="0"/>
      <w:marTop w:val="0"/>
      <w:marBottom w:val="0"/>
      <w:divBdr>
        <w:top w:val="none" w:sz="0" w:space="0" w:color="auto"/>
        <w:left w:val="none" w:sz="0" w:space="0" w:color="auto"/>
        <w:bottom w:val="none" w:sz="0" w:space="0" w:color="auto"/>
        <w:right w:val="none" w:sz="0" w:space="0" w:color="auto"/>
      </w:divBdr>
    </w:div>
    <w:div w:id="1336349246">
      <w:bodyDiv w:val="1"/>
      <w:marLeft w:val="0"/>
      <w:marRight w:val="0"/>
      <w:marTop w:val="0"/>
      <w:marBottom w:val="0"/>
      <w:divBdr>
        <w:top w:val="none" w:sz="0" w:space="0" w:color="auto"/>
        <w:left w:val="none" w:sz="0" w:space="0" w:color="auto"/>
        <w:bottom w:val="none" w:sz="0" w:space="0" w:color="auto"/>
        <w:right w:val="none" w:sz="0" w:space="0" w:color="auto"/>
      </w:divBdr>
      <w:divsChild>
        <w:div w:id="1398281541">
          <w:marLeft w:val="0"/>
          <w:marRight w:val="0"/>
          <w:marTop w:val="0"/>
          <w:marBottom w:val="0"/>
          <w:divBdr>
            <w:top w:val="none" w:sz="0" w:space="0" w:color="auto"/>
            <w:left w:val="none" w:sz="0" w:space="0" w:color="auto"/>
            <w:bottom w:val="none" w:sz="0" w:space="0" w:color="auto"/>
            <w:right w:val="none" w:sz="0" w:space="0" w:color="auto"/>
          </w:divBdr>
        </w:div>
        <w:div w:id="2120249494">
          <w:marLeft w:val="0"/>
          <w:marRight w:val="0"/>
          <w:marTop w:val="0"/>
          <w:marBottom w:val="0"/>
          <w:divBdr>
            <w:top w:val="none" w:sz="0" w:space="0" w:color="auto"/>
            <w:left w:val="none" w:sz="0" w:space="0" w:color="auto"/>
            <w:bottom w:val="none" w:sz="0" w:space="0" w:color="auto"/>
            <w:right w:val="none" w:sz="0" w:space="0" w:color="auto"/>
          </w:divBdr>
        </w:div>
      </w:divsChild>
    </w:div>
    <w:div w:id="1469201956">
      <w:bodyDiv w:val="1"/>
      <w:marLeft w:val="0"/>
      <w:marRight w:val="0"/>
      <w:marTop w:val="0"/>
      <w:marBottom w:val="0"/>
      <w:divBdr>
        <w:top w:val="none" w:sz="0" w:space="0" w:color="auto"/>
        <w:left w:val="none" w:sz="0" w:space="0" w:color="auto"/>
        <w:bottom w:val="none" w:sz="0" w:space="0" w:color="auto"/>
        <w:right w:val="none" w:sz="0" w:space="0" w:color="auto"/>
      </w:divBdr>
    </w:div>
    <w:div w:id="1535340295">
      <w:bodyDiv w:val="1"/>
      <w:marLeft w:val="0"/>
      <w:marRight w:val="0"/>
      <w:marTop w:val="0"/>
      <w:marBottom w:val="0"/>
      <w:divBdr>
        <w:top w:val="none" w:sz="0" w:space="0" w:color="auto"/>
        <w:left w:val="none" w:sz="0" w:space="0" w:color="auto"/>
        <w:bottom w:val="none" w:sz="0" w:space="0" w:color="auto"/>
        <w:right w:val="none" w:sz="0" w:space="0" w:color="auto"/>
      </w:divBdr>
    </w:div>
    <w:div w:id="1535923231">
      <w:bodyDiv w:val="1"/>
      <w:marLeft w:val="0"/>
      <w:marRight w:val="0"/>
      <w:marTop w:val="0"/>
      <w:marBottom w:val="0"/>
      <w:divBdr>
        <w:top w:val="none" w:sz="0" w:space="0" w:color="auto"/>
        <w:left w:val="none" w:sz="0" w:space="0" w:color="auto"/>
        <w:bottom w:val="none" w:sz="0" w:space="0" w:color="auto"/>
        <w:right w:val="none" w:sz="0" w:space="0" w:color="auto"/>
      </w:divBdr>
    </w:div>
    <w:div w:id="1555122454">
      <w:bodyDiv w:val="1"/>
      <w:marLeft w:val="0"/>
      <w:marRight w:val="0"/>
      <w:marTop w:val="0"/>
      <w:marBottom w:val="0"/>
      <w:divBdr>
        <w:top w:val="none" w:sz="0" w:space="0" w:color="auto"/>
        <w:left w:val="none" w:sz="0" w:space="0" w:color="auto"/>
        <w:bottom w:val="none" w:sz="0" w:space="0" w:color="auto"/>
        <w:right w:val="none" w:sz="0" w:space="0" w:color="auto"/>
      </w:divBdr>
      <w:divsChild>
        <w:div w:id="663701715">
          <w:marLeft w:val="0"/>
          <w:marRight w:val="0"/>
          <w:marTop w:val="0"/>
          <w:marBottom w:val="0"/>
          <w:divBdr>
            <w:top w:val="none" w:sz="0" w:space="0" w:color="auto"/>
            <w:left w:val="none" w:sz="0" w:space="0" w:color="auto"/>
            <w:bottom w:val="none" w:sz="0" w:space="0" w:color="auto"/>
            <w:right w:val="none" w:sz="0" w:space="0" w:color="auto"/>
          </w:divBdr>
        </w:div>
      </w:divsChild>
    </w:div>
    <w:div w:id="1597862258">
      <w:bodyDiv w:val="1"/>
      <w:marLeft w:val="0"/>
      <w:marRight w:val="0"/>
      <w:marTop w:val="0"/>
      <w:marBottom w:val="0"/>
      <w:divBdr>
        <w:top w:val="none" w:sz="0" w:space="0" w:color="auto"/>
        <w:left w:val="none" w:sz="0" w:space="0" w:color="auto"/>
        <w:bottom w:val="none" w:sz="0" w:space="0" w:color="auto"/>
        <w:right w:val="none" w:sz="0" w:space="0" w:color="auto"/>
      </w:divBdr>
      <w:divsChild>
        <w:div w:id="682628861">
          <w:marLeft w:val="0"/>
          <w:marRight w:val="0"/>
          <w:marTop w:val="0"/>
          <w:marBottom w:val="0"/>
          <w:divBdr>
            <w:top w:val="none" w:sz="0" w:space="0" w:color="auto"/>
            <w:left w:val="none" w:sz="0" w:space="0" w:color="auto"/>
            <w:bottom w:val="none" w:sz="0" w:space="0" w:color="auto"/>
            <w:right w:val="none" w:sz="0" w:space="0" w:color="auto"/>
          </w:divBdr>
        </w:div>
      </w:divsChild>
    </w:div>
    <w:div w:id="1876964181">
      <w:bodyDiv w:val="1"/>
      <w:marLeft w:val="0"/>
      <w:marRight w:val="0"/>
      <w:marTop w:val="0"/>
      <w:marBottom w:val="0"/>
      <w:divBdr>
        <w:top w:val="none" w:sz="0" w:space="0" w:color="auto"/>
        <w:left w:val="none" w:sz="0" w:space="0" w:color="auto"/>
        <w:bottom w:val="none" w:sz="0" w:space="0" w:color="auto"/>
        <w:right w:val="none" w:sz="0" w:space="0" w:color="auto"/>
      </w:divBdr>
      <w:divsChild>
        <w:div w:id="940836728">
          <w:marLeft w:val="0"/>
          <w:marRight w:val="0"/>
          <w:marTop w:val="0"/>
          <w:marBottom w:val="0"/>
          <w:divBdr>
            <w:top w:val="none" w:sz="0" w:space="0" w:color="auto"/>
            <w:left w:val="none" w:sz="0" w:space="0" w:color="auto"/>
            <w:bottom w:val="none" w:sz="0" w:space="0" w:color="auto"/>
            <w:right w:val="none" w:sz="0" w:space="0" w:color="auto"/>
          </w:divBdr>
          <w:divsChild>
            <w:div w:id="14889372">
              <w:marLeft w:val="0"/>
              <w:marRight w:val="0"/>
              <w:marTop w:val="0"/>
              <w:marBottom w:val="0"/>
              <w:divBdr>
                <w:top w:val="none" w:sz="0" w:space="0" w:color="auto"/>
                <w:left w:val="none" w:sz="0" w:space="0" w:color="auto"/>
                <w:bottom w:val="none" w:sz="0" w:space="0" w:color="auto"/>
                <w:right w:val="none" w:sz="0" w:space="0" w:color="auto"/>
              </w:divBdr>
            </w:div>
          </w:divsChild>
        </w:div>
        <w:div w:id="477109636">
          <w:marLeft w:val="0"/>
          <w:marRight w:val="0"/>
          <w:marTop w:val="0"/>
          <w:marBottom w:val="0"/>
          <w:divBdr>
            <w:top w:val="none" w:sz="0" w:space="0" w:color="auto"/>
            <w:left w:val="none" w:sz="0" w:space="0" w:color="auto"/>
            <w:bottom w:val="none" w:sz="0" w:space="0" w:color="auto"/>
            <w:right w:val="none" w:sz="0" w:space="0" w:color="auto"/>
          </w:divBdr>
          <w:divsChild>
            <w:div w:id="4339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3642">
      <w:bodyDiv w:val="1"/>
      <w:marLeft w:val="0"/>
      <w:marRight w:val="0"/>
      <w:marTop w:val="0"/>
      <w:marBottom w:val="0"/>
      <w:divBdr>
        <w:top w:val="none" w:sz="0" w:space="0" w:color="auto"/>
        <w:left w:val="none" w:sz="0" w:space="0" w:color="auto"/>
        <w:bottom w:val="none" w:sz="0" w:space="0" w:color="auto"/>
        <w:right w:val="none" w:sz="0" w:space="0" w:color="auto"/>
      </w:divBdr>
      <w:divsChild>
        <w:div w:id="1401060377">
          <w:marLeft w:val="0"/>
          <w:marRight w:val="0"/>
          <w:marTop w:val="0"/>
          <w:marBottom w:val="0"/>
          <w:divBdr>
            <w:top w:val="none" w:sz="0" w:space="0" w:color="auto"/>
            <w:left w:val="none" w:sz="0" w:space="0" w:color="auto"/>
            <w:bottom w:val="none" w:sz="0" w:space="0" w:color="auto"/>
            <w:right w:val="none" w:sz="0" w:space="0" w:color="auto"/>
          </w:divBdr>
        </w:div>
      </w:divsChild>
    </w:div>
    <w:div w:id="1968193280">
      <w:bodyDiv w:val="1"/>
      <w:marLeft w:val="0"/>
      <w:marRight w:val="0"/>
      <w:marTop w:val="0"/>
      <w:marBottom w:val="0"/>
      <w:divBdr>
        <w:top w:val="none" w:sz="0" w:space="0" w:color="auto"/>
        <w:left w:val="none" w:sz="0" w:space="0" w:color="auto"/>
        <w:bottom w:val="none" w:sz="0" w:space="0" w:color="auto"/>
        <w:right w:val="none" w:sz="0" w:space="0" w:color="auto"/>
      </w:divBdr>
      <w:divsChild>
        <w:div w:id="1705323980">
          <w:marLeft w:val="0"/>
          <w:marRight w:val="0"/>
          <w:marTop w:val="0"/>
          <w:marBottom w:val="0"/>
          <w:divBdr>
            <w:top w:val="none" w:sz="0" w:space="0" w:color="auto"/>
            <w:left w:val="none" w:sz="0" w:space="0" w:color="auto"/>
            <w:bottom w:val="none" w:sz="0" w:space="0" w:color="auto"/>
            <w:right w:val="none" w:sz="0" w:space="0" w:color="auto"/>
          </w:divBdr>
        </w:div>
      </w:divsChild>
    </w:div>
    <w:div w:id="1978677255">
      <w:bodyDiv w:val="1"/>
      <w:marLeft w:val="0"/>
      <w:marRight w:val="0"/>
      <w:marTop w:val="0"/>
      <w:marBottom w:val="0"/>
      <w:divBdr>
        <w:top w:val="none" w:sz="0" w:space="0" w:color="auto"/>
        <w:left w:val="none" w:sz="0" w:space="0" w:color="auto"/>
        <w:bottom w:val="none" w:sz="0" w:space="0" w:color="auto"/>
        <w:right w:val="none" w:sz="0" w:space="0" w:color="auto"/>
      </w:divBdr>
    </w:div>
    <w:div w:id="2014141080">
      <w:bodyDiv w:val="1"/>
      <w:marLeft w:val="0"/>
      <w:marRight w:val="0"/>
      <w:marTop w:val="0"/>
      <w:marBottom w:val="0"/>
      <w:divBdr>
        <w:top w:val="none" w:sz="0" w:space="0" w:color="auto"/>
        <w:left w:val="none" w:sz="0" w:space="0" w:color="auto"/>
        <w:bottom w:val="none" w:sz="0" w:space="0" w:color="auto"/>
        <w:right w:val="none" w:sz="0" w:space="0" w:color="auto"/>
      </w:divBdr>
      <w:divsChild>
        <w:div w:id="746267864">
          <w:marLeft w:val="0"/>
          <w:marRight w:val="0"/>
          <w:marTop w:val="0"/>
          <w:marBottom w:val="0"/>
          <w:divBdr>
            <w:top w:val="single" w:sz="18" w:space="4" w:color="006FCA"/>
            <w:left w:val="single" w:sz="18" w:space="4" w:color="006FCA"/>
            <w:bottom w:val="single" w:sz="18" w:space="4" w:color="006FCA"/>
            <w:right w:val="single" w:sz="18" w:space="4" w:color="006FCA"/>
          </w:divBdr>
          <w:divsChild>
            <w:div w:id="2118255554">
              <w:marLeft w:val="0"/>
              <w:marRight w:val="0"/>
              <w:marTop w:val="0"/>
              <w:marBottom w:val="0"/>
              <w:divBdr>
                <w:top w:val="none" w:sz="0" w:space="0" w:color="auto"/>
                <w:left w:val="none" w:sz="0" w:space="0" w:color="auto"/>
                <w:bottom w:val="none" w:sz="0" w:space="0" w:color="auto"/>
                <w:right w:val="none" w:sz="0" w:space="0" w:color="auto"/>
              </w:divBdr>
              <w:divsChild>
                <w:div w:id="24781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4769562">
      <w:bodyDiv w:val="1"/>
      <w:marLeft w:val="0"/>
      <w:marRight w:val="0"/>
      <w:marTop w:val="0"/>
      <w:marBottom w:val="0"/>
      <w:divBdr>
        <w:top w:val="none" w:sz="0" w:space="0" w:color="auto"/>
        <w:left w:val="none" w:sz="0" w:space="0" w:color="auto"/>
        <w:bottom w:val="none" w:sz="0" w:space="0" w:color="auto"/>
        <w:right w:val="none" w:sz="0" w:space="0" w:color="auto"/>
      </w:divBdr>
      <w:divsChild>
        <w:div w:id="919481147">
          <w:marLeft w:val="0"/>
          <w:marRight w:val="0"/>
          <w:marTop w:val="0"/>
          <w:marBottom w:val="0"/>
          <w:divBdr>
            <w:top w:val="none" w:sz="0" w:space="0" w:color="auto"/>
            <w:left w:val="none" w:sz="0" w:space="0" w:color="auto"/>
            <w:bottom w:val="none" w:sz="0" w:space="0" w:color="auto"/>
            <w:right w:val="none" w:sz="0" w:space="0" w:color="auto"/>
          </w:divBdr>
          <w:divsChild>
            <w:div w:id="1605573765">
              <w:marLeft w:val="0"/>
              <w:marRight w:val="0"/>
              <w:marTop w:val="0"/>
              <w:marBottom w:val="0"/>
              <w:divBdr>
                <w:top w:val="none" w:sz="0" w:space="0" w:color="auto"/>
                <w:left w:val="none" w:sz="0" w:space="0" w:color="auto"/>
                <w:bottom w:val="none" w:sz="0" w:space="0" w:color="auto"/>
                <w:right w:val="none" w:sz="0" w:space="0" w:color="auto"/>
              </w:divBdr>
              <w:divsChild>
                <w:div w:id="1676881906">
                  <w:marLeft w:val="0"/>
                  <w:marRight w:val="0"/>
                  <w:marTop w:val="0"/>
                  <w:marBottom w:val="0"/>
                  <w:divBdr>
                    <w:top w:val="none" w:sz="0" w:space="0" w:color="auto"/>
                    <w:left w:val="none" w:sz="0" w:space="0" w:color="auto"/>
                    <w:bottom w:val="none" w:sz="0" w:space="0" w:color="auto"/>
                    <w:right w:val="none" w:sz="0" w:space="0" w:color="auto"/>
                  </w:divBdr>
                  <w:divsChild>
                    <w:div w:id="1533834864">
                      <w:marLeft w:val="0"/>
                      <w:marRight w:val="0"/>
                      <w:marTop w:val="0"/>
                      <w:marBottom w:val="0"/>
                      <w:divBdr>
                        <w:top w:val="none" w:sz="0" w:space="0" w:color="auto"/>
                        <w:left w:val="none" w:sz="0" w:space="0" w:color="auto"/>
                        <w:bottom w:val="none" w:sz="0" w:space="0" w:color="auto"/>
                        <w:right w:val="none" w:sz="0" w:space="0" w:color="auto"/>
                      </w:divBdr>
                      <w:divsChild>
                        <w:div w:id="21405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63280">
          <w:marLeft w:val="0"/>
          <w:marRight w:val="0"/>
          <w:marTop w:val="0"/>
          <w:marBottom w:val="0"/>
          <w:divBdr>
            <w:top w:val="none" w:sz="0" w:space="0" w:color="auto"/>
            <w:left w:val="none" w:sz="0" w:space="0" w:color="auto"/>
            <w:bottom w:val="none" w:sz="0" w:space="0" w:color="auto"/>
            <w:right w:val="none" w:sz="0" w:space="0" w:color="auto"/>
          </w:divBdr>
        </w:div>
      </w:divsChild>
    </w:div>
    <w:div w:id="210587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product/identifier/S1755773919000080/type/journal_article" TargetMode="External"/><Relationship Id="rId13" Type="http://schemas.openxmlformats.org/officeDocument/2006/relationships/hyperlink" Target="https://link.springer.com/10.1007/s11109-023-09858-x" TargetMode="External"/><Relationship Id="rId18" Type="http://schemas.openxmlformats.org/officeDocument/2006/relationships/hyperlink" Target="https://doi.org/10.1177/2378023122112687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mbridge.org/core/journals/british-journal-of-political-science/article/abs/political-trust-and-support-for-immigration-in-the-american-mass-public/1118374133FDD8535D2061836F28A7C2" TargetMode="External"/><Relationship Id="rId17" Type="http://schemas.openxmlformats.org/officeDocument/2006/relationships/hyperlink" Target="https://doi.org/10.1080/13501763.2023.2165697" TargetMode="External"/><Relationship Id="rId2" Type="http://schemas.openxmlformats.org/officeDocument/2006/relationships/numbering" Target="numbering.xml"/><Relationship Id="rId16" Type="http://schemas.openxmlformats.org/officeDocument/2006/relationships/hyperlink" Target="https://doi.org/10.31222/osf.io/cd5j9" TargetMode="External"/><Relationship Id="rId20" Type="http://schemas.openxmlformats.org/officeDocument/2006/relationships/hyperlink" Target="https://doi.org/10.1093/esr/jcab0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ridge.org/core/product/identifier/S0003055420000076/type/journal_articl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sf.io/zxjcn" TargetMode="External"/><Relationship Id="rId23" Type="http://schemas.openxmlformats.org/officeDocument/2006/relationships/fontTable" Target="fontTable.xml"/><Relationship Id="rId10" Type="http://schemas.openxmlformats.org/officeDocument/2006/relationships/hyperlink" Target="https://www.cambridge.org/core/journals/british-journal-of-political-science/article/when-will-people-pay-to-pollute-environmental-taxes-political-trust-and-experimental-evidence-from-britain/B22E0009B1D961CB699FD662E1C44ED9?utm_source=Twitter&amp;utm_medium=Social&amp;utm_campaign=bjpols" TargetMode="External"/><Relationship Id="rId19" Type="http://schemas.openxmlformats.org/officeDocument/2006/relationships/hyperlink" Target="https://doi.org/10.1111/1475-6765.12501" TargetMode="External"/><Relationship Id="rId4" Type="http://schemas.openxmlformats.org/officeDocument/2006/relationships/settings" Target="settings.xml"/><Relationship Id="rId9" Type="http://schemas.openxmlformats.org/officeDocument/2006/relationships/hyperlink" Target="https://static1.squarespace.com/static/5c21090f8f5130d0f2e4dc24/t/5e995ec3f866cd1282cf57b1/1587109577707/TrustGov+-+Trust+mistrust+distrust+-+20.04.2020.pdf" TargetMode="External"/><Relationship Id="rId14" Type="http://schemas.openxmlformats.org/officeDocument/2006/relationships/hyperlink" Target="https://academic.oup.com/esr/advance-article/doi/10.1093/esr/jcab061/650156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0331-0AA6-4F81-AE29-60A37FE7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Blok, E.A. de (Lisanne)</dc:creator>
  <cp:keywords/>
  <dc:description/>
  <cp:lastModifiedBy>Daniel Devine</cp:lastModifiedBy>
  <cp:revision>2</cp:revision>
  <cp:lastPrinted>2023-05-26T15:43:00Z</cp:lastPrinted>
  <dcterms:created xsi:type="dcterms:W3CDTF">2023-06-02T10:30:00Z</dcterms:created>
  <dcterms:modified xsi:type="dcterms:W3CDTF">2023-06-02T10:30:00Z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6ce7ac92-aafd-3f2e-b23c-b41c20b7645d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