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0F2B4" w14:textId="77777777" w:rsidR="004E6743" w:rsidRDefault="004E6743" w:rsidP="003F2052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187C6C">
        <w:rPr>
          <w:b/>
          <w:bCs/>
          <w:color w:val="000000"/>
          <w:sz w:val="32"/>
          <w:szCs w:val="32"/>
        </w:rPr>
        <w:t>C</w:t>
      </w:r>
      <w:r>
        <w:rPr>
          <w:b/>
          <w:bCs/>
          <w:color w:val="000000"/>
          <w:sz w:val="32"/>
          <w:szCs w:val="32"/>
        </w:rPr>
        <w:t xml:space="preserve">hronic </w:t>
      </w:r>
      <w:r w:rsidRPr="00187C6C">
        <w:rPr>
          <w:b/>
          <w:bCs/>
          <w:color w:val="000000"/>
          <w:sz w:val="32"/>
          <w:szCs w:val="32"/>
        </w:rPr>
        <w:t>F</w:t>
      </w:r>
      <w:r>
        <w:rPr>
          <w:b/>
          <w:bCs/>
          <w:color w:val="000000"/>
          <w:sz w:val="32"/>
          <w:szCs w:val="32"/>
        </w:rPr>
        <w:t xml:space="preserve">atigue </w:t>
      </w:r>
      <w:r w:rsidRPr="00187C6C">
        <w:rPr>
          <w:b/>
          <w:bCs/>
          <w:color w:val="000000"/>
          <w:sz w:val="32"/>
          <w:szCs w:val="32"/>
        </w:rPr>
        <w:t>S</w:t>
      </w:r>
      <w:r>
        <w:rPr>
          <w:b/>
          <w:bCs/>
          <w:color w:val="000000"/>
          <w:sz w:val="32"/>
          <w:szCs w:val="32"/>
        </w:rPr>
        <w:t>yndrome/Myalgic Encephalopathy</w:t>
      </w:r>
      <w:r w:rsidRPr="00214678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–</w:t>
      </w:r>
      <w:r w:rsidRPr="00394E3E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Disagreement, Uncertainty, Distress, Authority and Obligation.</w:t>
      </w:r>
    </w:p>
    <w:p w14:paraId="065BAE19" w14:textId="77777777" w:rsidR="004E6743" w:rsidRDefault="004E6743" w:rsidP="003F2052">
      <w:pPr>
        <w:spacing w:line="360" w:lineRule="auto"/>
        <w:rPr>
          <w:color w:val="000000"/>
        </w:rPr>
      </w:pPr>
    </w:p>
    <w:p w14:paraId="0632AC3C" w14:textId="585D63D5" w:rsidR="004E6743" w:rsidRPr="003D1635" w:rsidRDefault="004E6743" w:rsidP="003F2052">
      <w:pPr>
        <w:spacing w:line="360" w:lineRule="auto"/>
        <w:rPr>
          <w:color w:val="000000"/>
        </w:rPr>
      </w:pPr>
      <w:r w:rsidRPr="00AA1A17">
        <w:rPr>
          <w:color w:val="000000"/>
        </w:rPr>
        <w:t xml:space="preserve">There is bitter disagreement </w:t>
      </w:r>
      <w:r>
        <w:rPr>
          <w:color w:val="000000"/>
        </w:rPr>
        <w:t>between medical authorities and patient advoca</w:t>
      </w:r>
      <w:r w:rsidR="00DF357B">
        <w:rPr>
          <w:color w:val="000000"/>
        </w:rPr>
        <w:t>cy</w:t>
      </w:r>
      <w:r>
        <w:rPr>
          <w:color w:val="000000"/>
        </w:rPr>
        <w:t xml:space="preserve"> groups regarding the management of chronic fatigue syndrome/myalgic encephalopathy (CFS/ME</w:t>
      </w:r>
      <w:r w:rsidR="00201432">
        <w:rPr>
          <w:color w:val="000000"/>
        </w:rPr>
        <w:t>).</w:t>
      </w:r>
      <w:r w:rsidR="00201432">
        <w:rPr>
          <w:color w:val="000000"/>
          <w:vertAlign w:val="superscript"/>
        </w:rPr>
        <w:t>1</w:t>
      </w:r>
      <w:r>
        <w:rPr>
          <w:color w:val="000000"/>
        </w:rPr>
        <w:t xml:space="preserve">  These disagreements </w:t>
      </w:r>
      <w:r>
        <w:rPr>
          <w:color w:val="000000" w:themeColor="text1"/>
        </w:rPr>
        <w:t>are related to</w:t>
      </w:r>
      <w:r w:rsidRPr="007667C3">
        <w:rPr>
          <w:color w:val="000000"/>
          <w:bdr w:val="none" w:sz="0" w:space="0" w:color="auto" w:frame="1"/>
        </w:rPr>
        <w:t xml:space="preserve"> </w:t>
      </w:r>
      <w:r>
        <w:rPr>
          <w:color w:val="000000" w:themeColor="text1"/>
        </w:rPr>
        <w:t>uncertainties and areas of ignorance about the condition</w:t>
      </w:r>
      <w:r w:rsidR="00DB58B9">
        <w:rPr>
          <w:color w:val="000000" w:themeColor="text1"/>
        </w:rPr>
        <w:t xml:space="preserve">: there is </w:t>
      </w:r>
      <w:r w:rsidR="00DB58B9" w:rsidRPr="00B24AFC">
        <w:rPr>
          <w:color w:val="000000"/>
        </w:rPr>
        <w:t>no known agreed cause</w:t>
      </w:r>
      <w:r w:rsidR="00DB58B9">
        <w:rPr>
          <w:color w:val="000000"/>
        </w:rPr>
        <w:t xml:space="preserve"> for its onset or for its</w:t>
      </w:r>
      <w:r w:rsidR="00DB58B9" w:rsidRPr="00B24AFC">
        <w:rPr>
          <w:color w:val="000000"/>
        </w:rPr>
        <w:t xml:space="preserve"> continuing symptoms</w:t>
      </w:r>
      <w:r w:rsidR="00DB58B9">
        <w:rPr>
          <w:color w:val="000000"/>
        </w:rPr>
        <w:t>; and there is no test that shows that any alleged mechanism is present in more than a minority of patients</w:t>
      </w:r>
      <w:r w:rsidR="00DB58B9">
        <w:rPr>
          <w:color w:val="000000" w:themeColor="text1"/>
        </w:rPr>
        <w:t>.</w:t>
      </w:r>
      <w:r w:rsidR="00201432">
        <w:rPr>
          <w:color w:val="000000" w:themeColor="text1"/>
          <w:vertAlign w:val="superscript"/>
        </w:rPr>
        <w:t>2</w:t>
      </w:r>
      <w:r w:rsidR="00DB58B9">
        <w:rPr>
          <w:color w:val="000000" w:themeColor="text1"/>
        </w:rPr>
        <w:t xml:space="preserve">  </w:t>
      </w:r>
      <w:r>
        <w:rPr>
          <w:color w:val="000000" w:themeColor="text1"/>
        </w:rPr>
        <w:t>T</w:t>
      </w:r>
      <w:r>
        <w:rPr>
          <w:color w:val="000000"/>
        </w:rPr>
        <w:t xml:space="preserve">he treatment for any condition should be based on evidence regarding its causative mechanisms, or at least on the success of </w:t>
      </w:r>
      <w:r w:rsidR="00DB58B9">
        <w:rPr>
          <w:color w:val="000000"/>
        </w:rPr>
        <w:t xml:space="preserve">the </w:t>
      </w:r>
      <w:r>
        <w:rPr>
          <w:color w:val="000000"/>
        </w:rPr>
        <w:t>treatment.  But, in CFS/ME there</w:t>
      </w:r>
      <w:r w:rsidRPr="00B24AFC">
        <w:rPr>
          <w:color w:val="000000"/>
        </w:rPr>
        <w:t xml:space="preserve"> </w:t>
      </w:r>
      <w:r w:rsidR="00DB58B9" w:rsidRPr="00BD5F9D">
        <w:rPr>
          <w:color w:val="000000" w:themeColor="text1"/>
        </w:rPr>
        <w:t>is no known curative treatment</w:t>
      </w:r>
      <w:r w:rsidR="00DB58B9">
        <w:rPr>
          <w:color w:val="000000" w:themeColor="text1"/>
        </w:rPr>
        <w:t>; and symptomatic treatments have limited success</w:t>
      </w:r>
      <w:r w:rsidR="00DB58B9">
        <w:rPr>
          <w:color w:val="000000"/>
        </w:rPr>
        <w:t>.</w:t>
      </w:r>
      <w:r>
        <w:rPr>
          <w:color w:val="000000" w:themeColor="text1"/>
        </w:rPr>
        <w:t xml:space="preserve">  </w:t>
      </w:r>
    </w:p>
    <w:p w14:paraId="61062148" w14:textId="77777777" w:rsidR="004E6743" w:rsidRDefault="004E6743" w:rsidP="003F2052">
      <w:pPr>
        <w:spacing w:line="360" w:lineRule="auto"/>
        <w:rPr>
          <w:color w:val="000000"/>
          <w:bdr w:val="none" w:sz="0" w:space="0" w:color="auto" w:frame="1"/>
        </w:rPr>
      </w:pPr>
    </w:p>
    <w:p w14:paraId="4337BCCB" w14:textId="1899DA9E" w:rsidR="004E6743" w:rsidRPr="004434F5" w:rsidRDefault="004E6743" w:rsidP="003F2052">
      <w:pPr>
        <w:spacing w:line="360" w:lineRule="auto"/>
        <w:rPr>
          <w:color w:val="000000"/>
          <w:bdr w:val="none" w:sz="0" w:space="0" w:color="auto" w:frame="1"/>
          <w:vertAlign w:val="superscript"/>
        </w:rPr>
      </w:pPr>
      <w:r w:rsidRPr="003C29BF">
        <w:rPr>
          <w:color w:val="000000"/>
          <w:bdr w:val="none" w:sz="0" w:space="0" w:color="auto" w:frame="1"/>
        </w:rPr>
        <w:t xml:space="preserve">CFS/ME patients find that mental or physical exercise beyond their limits </w:t>
      </w:r>
      <w:r w:rsidRPr="000E2834">
        <w:rPr>
          <w:color w:val="000000"/>
        </w:rPr>
        <w:t>worse</w:t>
      </w:r>
      <w:r>
        <w:rPr>
          <w:color w:val="000000"/>
        </w:rPr>
        <w:t xml:space="preserve">ns their </w:t>
      </w:r>
      <w:r w:rsidRPr="000E2834">
        <w:rPr>
          <w:color w:val="000000"/>
        </w:rPr>
        <w:t>symptoms</w:t>
      </w:r>
      <w:r>
        <w:rPr>
          <w:color w:val="000000"/>
          <w:bdr w:val="none" w:sz="0" w:space="0" w:color="auto" w:frame="1"/>
        </w:rPr>
        <w:t xml:space="preserve">.  </w:t>
      </w:r>
      <w:r w:rsidRPr="003C29BF">
        <w:rPr>
          <w:color w:val="000000"/>
          <w:bdr w:val="none" w:sz="0" w:space="0" w:color="auto" w:frame="1"/>
        </w:rPr>
        <w:t>Their understanding</w:t>
      </w:r>
      <w:r>
        <w:rPr>
          <w:color w:val="000000"/>
          <w:bdr w:val="none" w:sz="0" w:space="0" w:color="auto" w:frame="1"/>
        </w:rPr>
        <w:t xml:space="preserve"> is therefore</w:t>
      </w:r>
      <w:r w:rsidRPr="003C29BF">
        <w:rPr>
          <w:color w:val="000000"/>
          <w:bdr w:val="none" w:sz="0" w:space="0" w:color="auto" w:frame="1"/>
        </w:rPr>
        <w:t xml:space="preserve"> that too much exercise is harmful.</w:t>
      </w:r>
      <w:r>
        <w:rPr>
          <w:color w:val="000000"/>
          <w:bdr w:val="none" w:sz="0" w:space="0" w:color="auto" w:frame="1"/>
        </w:rPr>
        <w:t xml:space="preserve">  </w:t>
      </w:r>
      <w:r w:rsidRPr="003C29BF">
        <w:rPr>
          <w:color w:val="000000"/>
          <w:bdr w:val="none" w:sz="0" w:space="0" w:color="auto" w:frame="1"/>
        </w:rPr>
        <w:t>So, the</w:t>
      </w:r>
      <w:r>
        <w:rPr>
          <w:color w:val="000000"/>
          <w:bdr w:val="none" w:sz="0" w:space="0" w:color="auto" w:frame="1"/>
        </w:rPr>
        <w:t xml:space="preserve">ir symptomatic self-treatment </w:t>
      </w:r>
      <w:r w:rsidR="00DF357B">
        <w:rPr>
          <w:color w:val="000000"/>
          <w:bdr w:val="none" w:sz="0" w:space="0" w:color="auto" w:frame="1"/>
        </w:rPr>
        <w:t xml:space="preserve">(as supported by </w:t>
      </w:r>
      <w:r w:rsidR="00F365B6">
        <w:rPr>
          <w:color w:val="000000"/>
          <w:bdr w:val="none" w:sz="0" w:space="0" w:color="auto" w:frame="1"/>
        </w:rPr>
        <w:t xml:space="preserve">CFS/ME </w:t>
      </w:r>
      <w:r w:rsidR="00DF357B">
        <w:rPr>
          <w:color w:val="000000"/>
          <w:bdr w:val="none" w:sz="0" w:space="0" w:color="auto" w:frame="1"/>
        </w:rPr>
        <w:t xml:space="preserve">patient advocacy groups) </w:t>
      </w:r>
      <w:r>
        <w:rPr>
          <w:color w:val="000000"/>
          <w:bdr w:val="none" w:sz="0" w:space="0" w:color="auto" w:frame="1"/>
        </w:rPr>
        <w:t>is</w:t>
      </w:r>
      <w:r w:rsidRPr="003C29BF">
        <w:rPr>
          <w:color w:val="000000"/>
          <w:bdr w:val="none" w:sz="0" w:space="0" w:color="auto" w:frame="1"/>
        </w:rPr>
        <w:t xml:space="preserve"> ‘pacing’</w:t>
      </w:r>
      <w:r>
        <w:rPr>
          <w:color w:val="000000"/>
          <w:bdr w:val="none" w:sz="0" w:space="0" w:color="auto" w:frame="1"/>
        </w:rPr>
        <w:t xml:space="preserve"> -</w:t>
      </w:r>
      <w:r w:rsidRPr="003C29BF">
        <w:rPr>
          <w:color w:val="000000"/>
          <w:bdr w:val="none" w:sz="0" w:space="0" w:color="auto" w:frame="1"/>
        </w:rPr>
        <w:t xml:space="preserve"> exertion only within limits</w:t>
      </w:r>
      <w:r>
        <w:rPr>
          <w:color w:val="000000"/>
          <w:bdr w:val="none" w:sz="0" w:space="0" w:color="auto" w:frame="1"/>
        </w:rPr>
        <w:t>, followed by deliberate rest.</w:t>
      </w:r>
      <w:r w:rsidR="00CF0027">
        <w:rPr>
          <w:color w:val="000000"/>
          <w:bdr w:val="none" w:sz="0" w:space="0" w:color="auto" w:frame="1"/>
          <w:vertAlign w:val="superscript"/>
        </w:rPr>
        <w:t>3</w:t>
      </w:r>
      <w:r>
        <w:rPr>
          <w:color w:val="000000"/>
          <w:bdr w:val="none" w:sz="0" w:space="0" w:color="auto" w:frame="1"/>
        </w:rPr>
        <w:t xml:space="preserve"> </w:t>
      </w:r>
      <w:r w:rsidR="009B65D9">
        <w:rPr>
          <w:color w:val="000000"/>
          <w:bdr w:val="none" w:sz="0" w:space="0" w:color="auto" w:frame="1"/>
        </w:rPr>
        <w:t xml:space="preserve"> </w:t>
      </w:r>
      <w:r w:rsidR="00DB1849">
        <w:rPr>
          <w:color w:val="000000"/>
        </w:rPr>
        <w:t>By contrast</w:t>
      </w:r>
      <w:r>
        <w:rPr>
          <w:color w:val="000000"/>
        </w:rPr>
        <w:t>, the British National Institute for Health and Care Excellence (NICE) recommends graded exercise therapy (GET) and cognitive behaviour therapy (CBT).</w:t>
      </w:r>
      <w:r w:rsidR="0086123A">
        <w:rPr>
          <w:color w:val="000000"/>
          <w:vertAlign w:val="superscript"/>
        </w:rPr>
        <w:t>4</w:t>
      </w:r>
      <w:r>
        <w:rPr>
          <w:color w:val="000000"/>
        </w:rPr>
        <w:t xml:space="preserve"> </w:t>
      </w:r>
      <w:r w:rsidR="009B65D9">
        <w:rPr>
          <w:color w:val="000000"/>
        </w:rPr>
        <w:t xml:space="preserve"> </w:t>
      </w:r>
      <w:r>
        <w:rPr>
          <w:color w:val="000000"/>
        </w:rPr>
        <w:t>Many CFS/ME patients complain that their doctors impose these treatments against their wishes.</w:t>
      </w:r>
      <w:r w:rsidR="00DD291F">
        <w:rPr>
          <w:color w:val="000000"/>
        </w:rPr>
        <w:t xml:space="preserve">  </w:t>
      </w:r>
      <w:r>
        <w:rPr>
          <w:color w:val="000000"/>
        </w:rPr>
        <w:t xml:space="preserve">These patients </w:t>
      </w:r>
      <w:r>
        <w:rPr>
          <w:rFonts w:ascii="inherit" w:hAnsi="inherit"/>
          <w:color w:val="000000"/>
          <w:bdr w:val="none" w:sz="0" w:space="0" w:color="auto" w:frame="1"/>
        </w:rPr>
        <w:t xml:space="preserve">interpret </w:t>
      </w:r>
      <w:r w:rsidRPr="003C29BF">
        <w:rPr>
          <w:color w:val="000000"/>
          <w:bdr w:val="none" w:sz="0" w:space="0" w:color="auto" w:frame="1"/>
        </w:rPr>
        <w:t xml:space="preserve">the rationale behind </w:t>
      </w:r>
      <w:r w:rsidR="004434F5">
        <w:rPr>
          <w:color w:val="000000"/>
          <w:bdr w:val="none" w:sz="0" w:space="0" w:color="auto" w:frame="1"/>
        </w:rPr>
        <w:t xml:space="preserve">recommendations for </w:t>
      </w:r>
      <w:r w:rsidRPr="003C29BF">
        <w:rPr>
          <w:color w:val="000000"/>
          <w:bdr w:val="none" w:sz="0" w:space="0" w:color="auto" w:frame="1"/>
        </w:rPr>
        <w:t>GET</w:t>
      </w:r>
      <w:r>
        <w:rPr>
          <w:color w:val="000000"/>
          <w:bdr w:val="none" w:sz="0" w:space="0" w:color="auto" w:frame="1"/>
        </w:rPr>
        <w:t>,</w:t>
      </w:r>
      <w:r w:rsidRPr="003C29BF">
        <w:rPr>
          <w:color w:val="000000"/>
          <w:bdr w:val="none" w:sz="0" w:space="0" w:color="auto" w:frame="1"/>
        </w:rPr>
        <w:t xml:space="preserve"> that </w:t>
      </w:r>
      <w:r>
        <w:rPr>
          <w:color w:val="000000"/>
          <w:bdr w:val="none" w:sz="0" w:space="0" w:color="auto" w:frame="1"/>
        </w:rPr>
        <w:t xml:space="preserve">CFS/ME </w:t>
      </w:r>
      <w:r w:rsidRPr="003C29BF">
        <w:rPr>
          <w:color w:val="000000"/>
          <w:bdr w:val="none" w:sz="0" w:space="0" w:color="auto" w:frame="1"/>
        </w:rPr>
        <w:t>is due to or exacerbated by deconditioning or physical unfitness</w:t>
      </w:r>
      <w:r>
        <w:rPr>
          <w:color w:val="000000"/>
          <w:bdr w:val="none" w:sz="0" w:space="0" w:color="auto" w:frame="1"/>
        </w:rPr>
        <w:t>, as being</w:t>
      </w:r>
      <w:r w:rsidRPr="003C29BF">
        <w:rPr>
          <w:color w:val="000000"/>
          <w:bdr w:val="none" w:sz="0" w:space="0" w:color="auto" w:frame="1"/>
        </w:rPr>
        <w:t xml:space="preserve"> unfairly critical of</w:t>
      </w:r>
      <w:r>
        <w:rPr>
          <w:color w:val="000000"/>
          <w:bdr w:val="none" w:sz="0" w:space="0" w:color="auto" w:frame="1"/>
        </w:rPr>
        <w:t xml:space="preserve"> their</w:t>
      </w:r>
      <w:r w:rsidRPr="003C29BF">
        <w:rPr>
          <w:color w:val="000000"/>
          <w:bdr w:val="none" w:sz="0" w:space="0" w:color="auto" w:frame="1"/>
        </w:rPr>
        <w:t xml:space="preserve"> response to </w:t>
      </w:r>
      <w:r>
        <w:rPr>
          <w:color w:val="000000"/>
          <w:bdr w:val="none" w:sz="0" w:space="0" w:color="auto" w:frame="1"/>
        </w:rPr>
        <w:t>their</w:t>
      </w:r>
      <w:r w:rsidRPr="003C29BF">
        <w:rPr>
          <w:color w:val="000000"/>
          <w:bdr w:val="none" w:sz="0" w:space="0" w:color="auto" w:frame="1"/>
        </w:rPr>
        <w:t xml:space="preserve"> illness</w:t>
      </w:r>
      <w:r>
        <w:rPr>
          <w:color w:val="000000"/>
          <w:bdr w:val="none" w:sz="0" w:space="0" w:color="auto" w:frame="1"/>
        </w:rPr>
        <w:t>.</w:t>
      </w:r>
      <w:r>
        <w:rPr>
          <w:color w:val="000000"/>
        </w:rPr>
        <w:t xml:space="preserve">  </w:t>
      </w:r>
      <w:r>
        <w:rPr>
          <w:rFonts w:ascii="inherit" w:hAnsi="inherit"/>
          <w:color w:val="000000"/>
          <w:bdr w:val="none" w:sz="0" w:space="0" w:color="auto" w:frame="1"/>
        </w:rPr>
        <w:t>And they</w:t>
      </w:r>
      <w:r>
        <w:rPr>
          <w:color w:val="000000"/>
        </w:rPr>
        <w:t xml:space="preserve"> interpret CBT </w:t>
      </w:r>
      <w:r>
        <w:rPr>
          <w:color w:val="000000"/>
          <w:bdr w:val="none" w:sz="0" w:space="0" w:color="auto" w:frame="1"/>
        </w:rPr>
        <w:t>as</w:t>
      </w:r>
      <w:r w:rsidRPr="00BA2588">
        <w:rPr>
          <w:color w:val="000000"/>
          <w:bdr w:val="none" w:sz="0" w:space="0" w:color="auto" w:frame="1"/>
        </w:rPr>
        <w:t xml:space="preserve"> telling </w:t>
      </w:r>
      <w:r>
        <w:rPr>
          <w:color w:val="000000"/>
          <w:bdr w:val="none" w:sz="0" w:space="0" w:color="auto" w:frame="1"/>
        </w:rPr>
        <w:t>them</w:t>
      </w:r>
      <w:r w:rsidRPr="00BA2588">
        <w:rPr>
          <w:color w:val="000000"/>
          <w:bdr w:val="none" w:sz="0" w:space="0" w:color="auto" w:frame="1"/>
        </w:rPr>
        <w:t xml:space="preserve"> that there are things wrong with </w:t>
      </w:r>
      <w:r>
        <w:rPr>
          <w:color w:val="000000"/>
          <w:bdr w:val="none" w:sz="0" w:space="0" w:color="auto" w:frame="1"/>
        </w:rPr>
        <w:t>their</w:t>
      </w:r>
      <w:r w:rsidRPr="00BA2588">
        <w:rPr>
          <w:color w:val="000000"/>
          <w:bdr w:val="none" w:sz="0" w:space="0" w:color="auto" w:frame="1"/>
        </w:rPr>
        <w:t xml:space="preserve"> mind, that </w:t>
      </w:r>
      <w:r>
        <w:rPr>
          <w:color w:val="000000"/>
          <w:bdr w:val="none" w:sz="0" w:space="0" w:color="auto" w:frame="1"/>
        </w:rPr>
        <w:t>they</w:t>
      </w:r>
      <w:r w:rsidRPr="00BA2588">
        <w:rPr>
          <w:color w:val="000000"/>
          <w:bdr w:val="none" w:sz="0" w:space="0" w:color="auto" w:frame="1"/>
        </w:rPr>
        <w:t xml:space="preserve"> have a ‘mental’ illness not a physical one</w:t>
      </w:r>
      <w:r>
        <w:rPr>
          <w:color w:val="000000"/>
          <w:bdr w:val="none" w:sz="0" w:space="0" w:color="auto" w:frame="1"/>
        </w:rPr>
        <w:t xml:space="preserve">.  </w:t>
      </w:r>
      <w:r>
        <w:rPr>
          <w:color w:val="000000"/>
        </w:rPr>
        <w:t xml:space="preserve">Many CSF/ME patients and their advocacy groups find the imposition of </w:t>
      </w:r>
      <w:r w:rsidRPr="00BA2588">
        <w:rPr>
          <w:color w:val="000000"/>
          <w:bdr w:val="none" w:sz="0" w:space="0" w:color="auto" w:frame="1"/>
        </w:rPr>
        <w:t xml:space="preserve">CBT </w:t>
      </w:r>
      <w:r>
        <w:rPr>
          <w:color w:val="000000"/>
          <w:bdr w:val="none" w:sz="0" w:space="0" w:color="auto" w:frame="1"/>
        </w:rPr>
        <w:t xml:space="preserve">and GET as </w:t>
      </w:r>
      <w:r w:rsidRPr="003C29BF">
        <w:rPr>
          <w:color w:val="000000"/>
          <w:bdr w:val="none" w:sz="0" w:space="0" w:color="auto" w:frame="1"/>
        </w:rPr>
        <w:t xml:space="preserve">disparaging and </w:t>
      </w:r>
      <w:r>
        <w:rPr>
          <w:color w:val="000000"/>
          <w:bdr w:val="none" w:sz="0" w:space="0" w:color="auto" w:frame="1"/>
        </w:rPr>
        <w:t>distressing, and they find that GET and CBT make their symptoms worse.</w:t>
      </w:r>
      <w:r w:rsidR="004434F5">
        <w:rPr>
          <w:color w:val="000000"/>
          <w:vertAlign w:val="superscript"/>
        </w:rPr>
        <w:t>1</w:t>
      </w:r>
    </w:p>
    <w:p w14:paraId="4C529854" w14:textId="77777777" w:rsidR="004E6743" w:rsidRDefault="004E6743" w:rsidP="003F2052">
      <w:pPr>
        <w:spacing w:line="360" w:lineRule="auto"/>
        <w:rPr>
          <w:color w:val="000000"/>
        </w:rPr>
      </w:pPr>
    </w:p>
    <w:p w14:paraId="04FD75C8" w14:textId="0BCADF4B" w:rsidR="004E6743" w:rsidRDefault="004E6743" w:rsidP="003F2052">
      <w:pPr>
        <w:spacing w:line="360" w:lineRule="auto"/>
        <w:rPr>
          <w:color w:val="000000"/>
        </w:rPr>
      </w:pPr>
      <w:r>
        <w:rPr>
          <w:color w:val="000000"/>
        </w:rPr>
        <w:t xml:space="preserve">Our response to these disagreements should commence with obtaining some understanding of the opposing standpoints.  The different treatment recommendations highlighted above are justified by </w:t>
      </w:r>
      <w:r w:rsidR="00DF357B">
        <w:rPr>
          <w:color w:val="000000"/>
        </w:rPr>
        <w:t xml:space="preserve">seemingly </w:t>
      </w:r>
      <w:r>
        <w:rPr>
          <w:color w:val="000000"/>
        </w:rPr>
        <w:t>incompatible conceptualisations</w:t>
      </w:r>
      <w:r w:rsidRPr="008775A1">
        <w:rPr>
          <w:color w:val="000000"/>
        </w:rPr>
        <w:t xml:space="preserve"> </w:t>
      </w:r>
      <w:r>
        <w:rPr>
          <w:color w:val="000000"/>
        </w:rPr>
        <w:t xml:space="preserve">of disease, </w:t>
      </w:r>
      <w:r w:rsidR="00771373">
        <w:rPr>
          <w:color w:val="000000"/>
        </w:rPr>
        <w:t xml:space="preserve">the biopsychosocial model (BPS) and </w:t>
      </w:r>
      <w:r>
        <w:rPr>
          <w:color w:val="000000"/>
        </w:rPr>
        <w:t>the biomedical model (BMM)</w:t>
      </w:r>
      <w:r w:rsidR="00771373">
        <w:rPr>
          <w:color w:val="000000"/>
        </w:rPr>
        <w:t>.</w:t>
      </w:r>
      <w:r w:rsidR="00F02278">
        <w:rPr>
          <w:color w:val="000000"/>
          <w:vertAlign w:val="superscript"/>
        </w:rPr>
        <w:t>5</w:t>
      </w:r>
      <w:r w:rsidR="0077137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71373">
        <w:rPr>
          <w:color w:val="000000"/>
        </w:rPr>
        <w:t xml:space="preserve">Medical researchers and some </w:t>
      </w:r>
      <w:r>
        <w:rPr>
          <w:color w:val="000000"/>
        </w:rPr>
        <w:t xml:space="preserve">philosophically-minded clinicians support BPS </w:t>
      </w:r>
      <w:r w:rsidR="00771373">
        <w:rPr>
          <w:color w:val="000000"/>
        </w:rPr>
        <w:t xml:space="preserve">as justification for GET and CBT, </w:t>
      </w:r>
      <w:r>
        <w:rPr>
          <w:color w:val="000000"/>
        </w:rPr>
        <w:t>and reject BMM as inadequate</w:t>
      </w:r>
      <w:r w:rsidR="00771373">
        <w:rPr>
          <w:color w:val="000000"/>
        </w:rPr>
        <w:t>;</w:t>
      </w:r>
      <w:r w:rsidR="00BE7B70">
        <w:rPr>
          <w:color w:val="000000"/>
          <w:vertAlign w:val="superscript"/>
        </w:rPr>
        <w:t>6</w:t>
      </w:r>
      <w:r w:rsidR="00771373">
        <w:rPr>
          <w:color w:val="000000"/>
        </w:rPr>
        <w:t xml:space="preserve"> </w:t>
      </w:r>
      <w:r>
        <w:rPr>
          <w:color w:val="000000"/>
        </w:rPr>
        <w:t xml:space="preserve">while CFS/ME advocates and some phenomenological and hermeneutical philosophers reject </w:t>
      </w:r>
      <w:r w:rsidR="00771373">
        <w:rPr>
          <w:color w:val="000000"/>
        </w:rPr>
        <w:t>BPS</w:t>
      </w:r>
      <w:r>
        <w:rPr>
          <w:color w:val="000000"/>
        </w:rPr>
        <w:t xml:space="preserve"> and support the use of BMM.</w:t>
      </w:r>
      <w:r w:rsidR="00430FEA">
        <w:rPr>
          <w:color w:val="000000"/>
          <w:vertAlign w:val="superscript"/>
        </w:rPr>
        <w:t>1,</w:t>
      </w:r>
      <w:r w:rsidR="0086123A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 w:rsidR="009B65D9">
        <w:rPr>
          <w:color w:val="000000"/>
        </w:rPr>
        <w:t xml:space="preserve"> </w:t>
      </w:r>
      <w:r w:rsidR="00771373">
        <w:rPr>
          <w:color w:val="000000"/>
        </w:rPr>
        <w:t xml:space="preserve">The opponents in this dispute each </w:t>
      </w:r>
      <w:r w:rsidR="00771373">
        <w:rPr>
          <w:color w:val="000000"/>
        </w:rPr>
        <w:lastRenderedPageBreak/>
        <w:t>share a dislike of medical mind-body dualism and reductionism, but they both accuse each other of being guilty of these solecisms.</w:t>
      </w:r>
      <w:r w:rsidR="00216BB8">
        <w:rPr>
          <w:color w:val="000000"/>
          <w:vertAlign w:val="superscript"/>
        </w:rPr>
        <w:t>1,5</w:t>
      </w:r>
      <w:r w:rsidR="00771373">
        <w:rPr>
          <w:color w:val="000000"/>
        </w:rPr>
        <w:t xml:space="preserve">  </w:t>
      </w:r>
      <w:r>
        <w:rPr>
          <w:color w:val="000000"/>
        </w:rPr>
        <w:t xml:space="preserve">This presentation </w:t>
      </w:r>
      <w:r w:rsidR="00771373">
        <w:rPr>
          <w:color w:val="000000"/>
        </w:rPr>
        <w:t xml:space="preserve">shows that these disagreements are associated with </w:t>
      </w:r>
      <w:r w:rsidR="00C15C66">
        <w:rPr>
          <w:color w:val="000000"/>
        </w:rPr>
        <w:t xml:space="preserve">the </w:t>
      </w:r>
      <w:r w:rsidR="00771373">
        <w:rPr>
          <w:color w:val="000000"/>
        </w:rPr>
        <w:t>attribution</w:t>
      </w:r>
      <w:r w:rsidR="00280B07">
        <w:rPr>
          <w:color w:val="000000"/>
        </w:rPr>
        <w:t xml:space="preserve"> </w:t>
      </w:r>
      <w:r w:rsidR="00771373">
        <w:rPr>
          <w:color w:val="000000"/>
        </w:rPr>
        <w:t xml:space="preserve">of </w:t>
      </w:r>
      <w:r w:rsidR="00C15C66">
        <w:rPr>
          <w:color w:val="000000"/>
        </w:rPr>
        <w:t xml:space="preserve">different </w:t>
      </w:r>
      <w:r w:rsidR="00DF357B">
        <w:rPr>
          <w:color w:val="000000"/>
        </w:rPr>
        <w:t xml:space="preserve">meanings </w:t>
      </w:r>
      <w:r w:rsidR="00C15C66">
        <w:rPr>
          <w:color w:val="000000"/>
        </w:rPr>
        <w:t xml:space="preserve">to </w:t>
      </w:r>
      <w:r w:rsidR="00DF357B">
        <w:rPr>
          <w:color w:val="000000"/>
        </w:rPr>
        <w:t>these terms by the</w:t>
      </w:r>
      <w:r>
        <w:rPr>
          <w:color w:val="000000"/>
        </w:rPr>
        <w:t xml:space="preserve"> </w:t>
      </w:r>
      <w:r w:rsidR="009718DB">
        <w:rPr>
          <w:color w:val="000000"/>
        </w:rPr>
        <w:t>protagonists.</w:t>
      </w:r>
    </w:p>
    <w:p w14:paraId="0A9C3B5F" w14:textId="77777777" w:rsidR="004E6743" w:rsidRDefault="004E6743" w:rsidP="003F2052">
      <w:pPr>
        <w:spacing w:line="360" w:lineRule="auto"/>
        <w:rPr>
          <w:color w:val="000000"/>
        </w:rPr>
      </w:pPr>
    </w:p>
    <w:p w14:paraId="269E6A74" w14:textId="2FF74325" w:rsidR="004E6743" w:rsidRDefault="004E6743" w:rsidP="003F2052">
      <w:pPr>
        <w:spacing w:line="360" w:lineRule="auto"/>
      </w:pPr>
      <w:r>
        <w:rPr>
          <w:color w:val="000000"/>
        </w:rPr>
        <w:t>But</w:t>
      </w:r>
      <w:r w:rsidR="009718DB">
        <w:rPr>
          <w:color w:val="000000"/>
        </w:rPr>
        <w:t xml:space="preserve"> </w:t>
      </w:r>
      <w:r>
        <w:rPr>
          <w:color w:val="000000"/>
        </w:rPr>
        <w:t xml:space="preserve">who should be the authorities here, patients </w:t>
      </w:r>
      <w:r w:rsidR="009718DB">
        <w:rPr>
          <w:color w:val="000000"/>
        </w:rPr>
        <w:t xml:space="preserve">and their supporters </w:t>
      </w:r>
      <w:r>
        <w:rPr>
          <w:color w:val="000000"/>
        </w:rPr>
        <w:t>or medical researchers and doctors?  For phenomenological and hermeneutical philosophers, patients’ experience, understanding, and interpretation are paramount.  But n</w:t>
      </w:r>
      <w:r>
        <w:t>either hermeneutics</w:t>
      </w:r>
      <w:r w:rsidR="00F02278">
        <w:t xml:space="preserve"> nor</w:t>
      </w:r>
      <w:r>
        <w:t xml:space="preserve"> phenomenology seem to have methodologies to resolve the tension when there is a difference between a doctor’s and a patient’s conceptualisation of </w:t>
      </w:r>
      <w:r>
        <w:rPr>
          <w:color w:val="000000"/>
        </w:rPr>
        <w:t>an illness</w:t>
      </w:r>
      <w:r>
        <w:t xml:space="preserve"> and its treatment</w:t>
      </w:r>
      <w:r w:rsidR="0049642E">
        <w:t>s (</w:t>
      </w:r>
      <w:r w:rsidR="00F02278">
        <w:t xml:space="preserve">and </w:t>
      </w:r>
      <w:r w:rsidR="0049642E">
        <w:t xml:space="preserve">nor </w:t>
      </w:r>
      <w:r w:rsidR="009F59C1">
        <w:t xml:space="preserve">does </w:t>
      </w:r>
      <w:r w:rsidR="0049642E">
        <w:t>the biopsychosocial approach).</w:t>
      </w:r>
      <w:r>
        <w:t xml:space="preserve">  However, </w:t>
      </w:r>
      <w:r w:rsidR="00F365B6">
        <w:t>withi</w:t>
      </w:r>
      <w:r>
        <w:t>n a consultation with a patient, the doctor has an obligation to attempt this resolution.</w:t>
      </w:r>
    </w:p>
    <w:p w14:paraId="4D3AB9EC" w14:textId="60FB5E65" w:rsidR="00CF0027" w:rsidRDefault="00CF0027" w:rsidP="004E6743"/>
    <w:p w14:paraId="26614393" w14:textId="154E3B05" w:rsidR="00CF0027" w:rsidRPr="00CF0027" w:rsidRDefault="00CF0027" w:rsidP="004E6743">
      <w:pPr>
        <w:rPr>
          <w:b/>
          <w:bCs/>
          <w:color w:val="000000"/>
        </w:rPr>
      </w:pPr>
      <w:r w:rsidRPr="00CF0027">
        <w:rPr>
          <w:b/>
          <w:bCs/>
        </w:rPr>
        <w:t xml:space="preserve">Abbreviated </w:t>
      </w:r>
      <w:r w:rsidR="0027750C">
        <w:rPr>
          <w:b/>
          <w:bCs/>
        </w:rPr>
        <w:t>R</w:t>
      </w:r>
      <w:r w:rsidRPr="00CF0027">
        <w:rPr>
          <w:b/>
          <w:bCs/>
        </w:rPr>
        <w:t xml:space="preserve">eference </w:t>
      </w:r>
      <w:r w:rsidR="0027750C">
        <w:rPr>
          <w:b/>
          <w:bCs/>
        </w:rPr>
        <w:t>L</w:t>
      </w:r>
      <w:r w:rsidRPr="00CF0027">
        <w:rPr>
          <w:b/>
          <w:bCs/>
        </w:rPr>
        <w:t>ist</w:t>
      </w:r>
    </w:p>
    <w:p w14:paraId="45C1D708" w14:textId="101F9110" w:rsidR="0079398E" w:rsidRDefault="0079398E" w:rsidP="008B6394">
      <w:pPr>
        <w:rPr>
          <w:color w:val="000000"/>
        </w:rPr>
      </w:pPr>
    </w:p>
    <w:p w14:paraId="260CC551" w14:textId="3EEE00C0" w:rsidR="00201432" w:rsidRPr="00201432" w:rsidRDefault="00201432" w:rsidP="00201432">
      <w:pPr>
        <w:pStyle w:val="ListParagraph"/>
        <w:numPr>
          <w:ilvl w:val="0"/>
          <w:numId w:val="4"/>
        </w:numPr>
        <w:rPr>
          <w:rStyle w:val="Hyperlink"/>
          <w:color w:val="000000"/>
          <w:u w:val="none"/>
        </w:rPr>
      </w:pPr>
      <w:r w:rsidRPr="00201432">
        <w:rPr>
          <w:color w:val="000000" w:themeColor="text1"/>
          <w:spacing w:val="-12"/>
        </w:rPr>
        <w:t xml:space="preserve">Invest in ME, ‘Personal Stories of ME sufferers’ (2017), </w:t>
      </w:r>
      <w:r w:rsidRPr="00201432">
        <w:rPr>
          <w:i/>
          <w:iCs/>
          <w:color w:val="000000" w:themeColor="text1"/>
          <w:spacing w:val="-12"/>
        </w:rPr>
        <w:t>Invest in ME</w:t>
      </w:r>
      <w:r w:rsidRPr="00201432">
        <w:rPr>
          <w:color w:val="000000" w:themeColor="text1"/>
          <w:spacing w:val="-12"/>
        </w:rPr>
        <w:t xml:space="preserve">, </w:t>
      </w:r>
      <w:hyperlink r:id="rId5" w:history="1">
        <w:r w:rsidRPr="00201432">
          <w:rPr>
            <w:rStyle w:val="Hyperlink"/>
            <w:color w:val="000000" w:themeColor="text1"/>
          </w:rPr>
          <w:t>http://www.investinme.org/</w:t>
        </w:r>
      </w:hyperlink>
    </w:p>
    <w:p w14:paraId="5722E781" w14:textId="77777777" w:rsidR="00201432" w:rsidRPr="00EE310D" w:rsidRDefault="00201432" w:rsidP="00201432">
      <w:pPr>
        <w:spacing w:line="264" w:lineRule="atLeast"/>
        <w:rPr>
          <w:color w:val="000000" w:themeColor="text1"/>
        </w:rPr>
      </w:pPr>
    </w:p>
    <w:p w14:paraId="25701002" w14:textId="54DF1B18" w:rsidR="00201432" w:rsidRPr="00CF0027" w:rsidRDefault="00201432" w:rsidP="00201432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EE310D">
        <w:rPr>
          <w:color w:val="000000" w:themeColor="text1"/>
        </w:rPr>
        <w:t>Blease</w:t>
      </w:r>
      <w:proofErr w:type="spellEnd"/>
      <w:r w:rsidRPr="00EE310D">
        <w:rPr>
          <w:color w:val="000000" w:themeColor="text1"/>
        </w:rPr>
        <w:t xml:space="preserve">, Charlotte, </w:t>
      </w:r>
      <w:proofErr w:type="spellStart"/>
      <w:r w:rsidRPr="00EE310D">
        <w:rPr>
          <w:color w:val="000000" w:themeColor="text1"/>
        </w:rPr>
        <w:t>Carel</w:t>
      </w:r>
      <w:proofErr w:type="spellEnd"/>
      <w:r w:rsidRPr="00EE310D">
        <w:rPr>
          <w:color w:val="000000" w:themeColor="text1"/>
        </w:rPr>
        <w:t>, Havi &amp; Geraghty, Keith (2017), ‘</w:t>
      </w:r>
      <w:r w:rsidRPr="00EE310D">
        <w:rPr>
          <w:bCs/>
          <w:color w:val="000000" w:themeColor="text1"/>
        </w:rPr>
        <w:t>Epistemic injustice in healthcare encounters: evidence from chronic fatigue syndrome’,</w:t>
      </w:r>
      <w:r w:rsidRPr="00EE310D">
        <w:rPr>
          <w:color w:val="000000" w:themeColor="text1"/>
        </w:rPr>
        <w:t xml:space="preserve"> </w:t>
      </w:r>
      <w:r w:rsidRPr="00EE310D">
        <w:rPr>
          <w:bCs/>
          <w:i/>
          <w:iCs/>
          <w:color w:val="000000" w:themeColor="text1"/>
        </w:rPr>
        <w:t>Journal of Medical Ethics</w:t>
      </w:r>
      <w:r>
        <w:rPr>
          <w:bCs/>
          <w:i/>
          <w:iCs/>
          <w:color w:val="000000" w:themeColor="text1"/>
        </w:rPr>
        <w:t>,</w:t>
      </w:r>
      <w:r w:rsidRPr="00EE310D">
        <w:rPr>
          <w:bCs/>
          <w:i/>
          <w:iCs/>
          <w:color w:val="000000" w:themeColor="text1"/>
        </w:rPr>
        <w:t> </w:t>
      </w:r>
      <w:r w:rsidRPr="00EE310D">
        <w:rPr>
          <w:bCs/>
          <w:color w:val="000000" w:themeColor="text1"/>
        </w:rPr>
        <w:t>2017; 43 487-488</w:t>
      </w:r>
      <w:r>
        <w:rPr>
          <w:bCs/>
          <w:color w:val="000000" w:themeColor="text1"/>
        </w:rPr>
        <w:t>.</w:t>
      </w:r>
      <w:r w:rsidRPr="00EE310D">
        <w:rPr>
          <w:bCs/>
          <w:color w:val="000000" w:themeColor="text1"/>
        </w:rPr>
        <w:t>  </w:t>
      </w:r>
    </w:p>
    <w:p w14:paraId="63C632B8" w14:textId="77777777" w:rsidR="00CF0027" w:rsidRPr="00CF0027" w:rsidRDefault="00CF0027" w:rsidP="00CF0027">
      <w:pPr>
        <w:pStyle w:val="ListParagraph"/>
        <w:rPr>
          <w:color w:val="000000"/>
        </w:rPr>
      </w:pPr>
    </w:p>
    <w:p w14:paraId="246FED63" w14:textId="66A5A578" w:rsidR="008B33FE" w:rsidRPr="00907908" w:rsidRDefault="00CF0027" w:rsidP="0090790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07908">
        <w:rPr>
          <w:color w:val="000000" w:themeColor="text1"/>
        </w:rPr>
        <w:t xml:space="preserve">Clements, Alison, Sharpe, Michael, Simkin, Sue, </w:t>
      </w:r>
      <w:proofErr w:type="spellStart"/>
      <w:r w:rsidRPr="00907908">
        <w:rPr>
          <w:color w:val="000000" w:themeColor="text1"/>
        </w:rPr>
        <w:t>Borrill</w:t>
      </w:r>
      <w:proofErr w:type="spellEnd"/>
      <w:r w:rsidRPr="00907908">
        <w:rPr>
          <w:color w:val="000000" w:themeColor="text1"/>
        </w:rPr>
        <w:t xml:space="preserve">, Jo, </w:t>
      </w:r>
      <w:proofErr w:type="spellStart"/>
      <w:r w:rsidRPr="00907908">
        <w:rPr>
          <w:color w:val="000000" w:themeColor="text1"/>
        </w:rPr>
        <w:t>Hawton</w:t>
      </w:r>
      <w:proofErr w:type="spellEnd"/>
      <w:r w:rsidRPr="00907908">
        <w:rPr>
          <w:color w:val="000000" w:themeColor="text1"/>
        </w:rPr>
        <w:t xml:space="preserve">, Keith (1997), ‘Chronic fatigue syndrome: ‘A qualitative investigation of patients' beliefs about the illness’, </w:t>
      </w:r>
      <w:r w:rsidRPr="006444A6">
        <w:rPr>
          <w:i/>
          <w:iCs/>
          <w:color w:val="000000" w:themeColor="text1"/>
        </w:rPr>
        <w:t>Journal of Psychosomatic Research</w:t>
      </w:r>
      <w:r w:rsidRPr="00907908">
        <w:rPr>
          <w:color w:val="000000" w:themeColor="text1"/>
        </w:rPr>
        <w:t>, Vol 42(6)</w:t>
      </w:r>
      <w:r w:rsidR="00692D15">
        <w:rPr>
          <w:color w:val="000000" w:themeColor="text1"/>
        </w:rPr>
        <w:t>.</w:t>
      </w:r>
    </w:p>
    <w:p w14:paraId="525BA464" w14:textId="77777777" w:rsidR="00216BB8" w:rsidRDefault="008B33FE" w:rsidP="00216BB8">
      <w:pPr>
        <w:pStyle w:val="Heading1"/>
        <w:numPr>
          <w:ilvl w:val="0"/>
          <w:numId w:val="4"/>
        </w:numPr>
        <w:rPr>
          <w:rStyle w:val="prod-title"/>
          <w:rFonts w:ascii="Times New Roman" w:hAnsi="Times New Roman" w:cs="Times New Roman"/>
          <w:color w:val="000000" w:themeColor="text1"/>
          <w:sz w:val="24"/>
          <w:szCs w:val="24"/>
        </w:rPr>
      </w:pPr>
      <w:r w:rsidRPr="00907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NICE (2007), </w:t>
      </w:r>
      <w:proofErr w:type="gramStart"/>
      <w:r w:rsidRPr="00907908">
        <w:rPr>
          <w:rFonts w:ascii="Times New Roman" w:hAnsi="Times New Roman" w:cs="Times New Roman"/>
          <w:color w:val="000000" w:themeColor="text1"/>
          <w:sz w:val="24"/>
          <w:szCs w:val="24"/>
        </w:rPr>
        <w:t>Chronic fatigue syndrome</w:t>
      </w:r>
      <w:proofErr w:type="gramEnd"/>
      <w:r w:rsidRPr="00907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/myalgic encephalomyelitis (or encephalopathy): diagnosis and management’, </w:t>
      </w:r>
      <w:r w:rsidRPr="00907908">
        <w:rPr>
          <w:rStyle w:val="prod-title"/>
          <w:rFonts w:ascii="Times New Roman" w:hAnsi="Times New Roman" w:cs="Times New Roman"/>
          <w:color w:val="000000" w:themeColor="text1"/>
          <w:sz w:val="24"/>
          <w:szCs w:val="24"/>
        </w:rPr>
        <w:t xml:space="preserve">Clinical guideline [CG53], </w:t>
      </w:r>
      <w:r w:rsidRPr="006444A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National Institute for Clinical Care and Excellence</w:t>
      </w:r>
      <w:r w:rsidRPr="00907908">
        <w:rPr>
          <w:rStyle w:val="prod-title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053F9E" w14:textId="7E99A040" w:rsidR="00216BB8" w:rsidRDefault="00216BB8" w:rsidP="00216BB8">
      <w:pPr>
        <w:pStyle w:val="Heading1"/>
        <w:numPr>
          <w:ilvl w:val="0"/>
          <w:numId w:val="4"/>
        </w:num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216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Engel, George L. (1977), ‘The Need for a New Medical Model: A Challenge for Biomedicine’ </w:t>
      </w:r>
      <w:r w:rsidRPr="00216B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Science</w:t>
      </w:r>
      <w:r w:rsidRPr="00216BB8">
        <w:rPr>
          <w:rFonts w:ascii="Times New Roman" w:hAnsi="Times New Roman" w:cs="Times New Roman"/>
          <w:color w:val="000000" w:themeColor="text1"/>
          <w:sz w:val="24"/>
          <w:szCs w:val="24"/>
        </w:rPr>
        <w:t>, New Series, Vol. 196, No. 4286</w:t>
      </w:r>
      <w:r w:rsidR="00692D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9A7D42" w14:textId="61C41894" w:rsidR="00544F8D" w:rsidRDefault="00544F8D" w:rsidP="00544F8D"/>
    <w:p w14:paraId="0BB487FD" w14:textId="77777777" w:rsidR="00544F8D" w:rsidRPr="00544F8D" w:rsidRDefault="00544F8D" w:rsidP="00544F8D">
      <w:pPr>
        <w:pStyle w:val="ListParagraph"/>
        <w:numPr>
          <w:ilvl w:val="0"/>
          <w:numId w:val="4"/>
        </w:numPr>
        <w:spacing w:after="120" w:line="259" w:lineRule="auto"/>
        <w:rPr>
          <w:color w:val="000000" w:themeColor="text1"/>
        </w:rPr>
      </w:pPr>
      <w:proofErr w:type="spellStart"/>
      <w:r w:rsidRPr="00544F8D">
        <w:rPr>
          <w:color w:val="000000" w:themeColor="text1"/>
        </w:rPr>
        <w:t>Wessely</w:t>
      </w:r>
      <w:proofErr w:type="spellEnd"/>
      <w:r w:rsidRPr="00544F8D">
        <w:rPr>
          <w:color w:val="000000" w:themeColor="text1"/>
        </w:rPr>
        <w:t xml:space="preserve">, S., </w:t>
      </w:r>
      <w:proofErr w:type="spellStart"/>
      <w:r w:rsidRPr="00544F8D">
        <w:rPr>
          <w:color w:val="000000" w:themeColor="text1"/>
        </w:rPr>
        <w:t>Hotopf</w:t>
      </w:r>
      <w:proofErr w:type="spellEnd"/>
      <w:r w:rsidRPr="00544F8D">
        <w:rPr>
          <w:color w:val="000000" w:themeColor="text1"/>
        </w:rPr>
        <w:t xml:space="preserve">, M. &amp; Sharpe, M. (1999), </w:t>
      </w:r>
      <w:r w:rsidRPr="00544F8D">
        <w:rPr>
          <w:i/>
          <w:iCs/>
          <w:color w:val="000000" w:themeColor="text1"/>
        </w:rPr>
        <w:t>Chronic Fatigue and its Syndromes</w:t>
      </w:r>
      <w:r w:rsidRPr="00544F8D">
        <w:rPr>
          <w:color w:val="000000" w:themeColor="text1"/>
        </w:rPr>
        <w:t>, Oxford University Press, Oxford.</w:t>
      </w:r>
      <w:r w:rsidRPr="00544F8D">
        <w:rPr>
          <w:i/>
          <w:iCs/>
          <w:color w:val="000000" w:themeColor="text1"/>
        </w:rPr>
        <w:t xml:space="preserve"> </w:t>
      </w:r>
    </w:p>
    <w:p w14:paraId="6365DE5F" w14:textId="39D45A4E" w:rsidR="00ED0835" w:rsidRDefault="00ED0835" w:rsidP="00ED0835"/>
    <w:p w14:paraId="22992E17" w14:textId="23DA0D75" w:rsidR="00ED0835" w:rsidRPr="00544F8D" w:rsidRDefault="00ED0835" w:rsidP="00ED0835">
      <w:r>
        <w:t>Hugh Robertson-Ritchie</w:t>
      </w:r>
    </w:p>
    <w:p w14:paraId="22C2C0EC" w14:textId="77777777" w:rsidR="008B33FE" w:rsidRPr="00487394" w:rsidRDefault="008B33FE" w:rsidP="00487394">
      <w:pPr>
        <w:rPr>
          <w:color w:val="000000" w:themeColor="text1"/>
        </w:rPr>
      </w:pPr>
    </w:p>
    <w:p w14:paraId="42CFE8B7" w14:textId="3D1F8B19" w:rsidR="0022754F" w:rsidRDefault="0022754F"/>
    <w:p w14:paraId="7E281705" w14:textId="63080BF5" w:rsidR="0022754F" w:rsidRDefault="0022754F"/>
    <w:p w14:paraId="46BF9AA2" w14:textId="3F9C1085" w:rsidR="0022754F" w:rsidRDefault="0022754F"/>
    <w:p w14:paraId="613285B9" w14:textId="6A40E804" w:rsidR="0022754F" w:rsidRDefault="0022754F"/>
    <w:p w14:paraId="5711CB2D" w14:textId="60AC6280" w:rsidR="0022754F" w:rsidRDefault="0022754F"/>
    <w:p w14:paraId="504BAA95" w14:textId="01DBE70E" w:rsidR="0022754F" w:rsidRDefault="0022754F"/>
    <w:p w14:paraId="6C3BBE27" w14:textId="4AFAD59B" w:rsidR="0022754F" w:rsidRDefault="0022754F"/>
    <w:p w14:paraId="13E17A65" w14:textId="4C213B6C" w:rsidR="0022754F" w:rsidRDefault="0022754F"/>
    <w:p w14:paraId="31F18A0F" w14:textId="1A4A238A" w:rsidR="0022754F" w:rsidRDefault="0022754F"/>
    <w:p w14:paraId="2942208D" w14:textId="68E79CA2" w:rsidR="0022754F" w:rsidRDefault="0022754F"/>
    <w:p w14:paraId="1870E3C5" w14:textId="3DDECC24" w:rsidR="0022754F" w:rsidRDefault="0022754F"/>
    <w:p w14:paraId="274A572C" w14:textId="69FF0182" w:rsidR="0022754F" w:rsidRDefault="0022754F"/>
    <w:p w14:paraId="76E9BFD9" w14:textId="0071F00E" w:rsidR="0022754F" w:rsidRDefault="0022754F"/>
    <w:p w14:paraId="2E130541" w14:textId="2ABD62FC" w:rsidR="0022754F" w:rsidRDefault="0022754F"/>
    <w:p w14:paraId="3E8B30C1" w14:textId="77777777" w:rsidR="0022754F" w:rsidRDefault="0022754F"/>
    <w:p w14:paraId="715D1F6C" w14:textId="77777777" w:rsidR="003A3B29" w:rsidRDefault="003A3B29"/>
    <w:sectPr w:rsidR="003A3B29" w:rsidSect="001D55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25B"/>
    <w:multiLevelType w:val="hybridMultilevel"/>
    <w:tmpl w:val="649AC1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3A6"/>
    <w:multiLevelType w:val="hybridMultilevel"/>
    <w:tmpl w:val="9468F93A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736"/>
    <w:multiLevelType w:val="hybridMultilevel"/>
    <w:tmpl w:val="323CADC4"/>
    <w:lvl w:ilvl="0" w:tplc="983EE9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14E9"/>
    <w:multiLevelType w:val="hybridMultilevel"/>
    <w:tmpl w:val="323CADC4"/>
    <w:lvl w:ilvl="0" w:tplc="983EE9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15F5"/>
    <w:multiLevelType w:val="hybridMultilevel"/>
    <w:tmpl w:val="8EC6D480"/>
    <w:lvl w:ilvl="0" w:tplc="F274EC3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E368F0"/>
    <w:multiLevelType w:val="hybridMultilevel"/>
    <w:tmpl w:val="56848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29"/>
    <w:rsid w:val="000070AD"/>
    <w:rsid w:val="000578BD"/>
    <w:rsid w:val="00076133"/>
    <w:rsid w:val="000B61CD"/>
    <w:rsid w:val="000D2A33"/>
    <w:rsid w:val="0016359D"/>
    <w:rsid w:val="00192630"/>
    <w:rsid w:val="001A4D39"/>
    <w:rsid w:val="001D5518"/>
    <w:rsid w:val="00201432"/>
    <w:rsid w:val="00214678"/>
    <w:rsid w:val="00216BB8"/>
    <w:rsid w:val="0022754F"/>
    <w:rsid w:val="00250437"/>
    <w:rsid w:val="0027750C"/>
    <w:rsid w:val="00280B07"/>
    <w:rsid w:val="0035485E"/>
    <w:rsid w:val="003A3B29"/>
    <w:rsid w:val="003D1635"/>
    <w:rsid w:val="003F2052"/>
    <w:rsid w:val="00427B0C"/>
    <w:rsid w:val="00430FEA"/>
    <w:rsid w:val="004434F5"/>
    <w:rsid w:val="00484BD0"/>
    <w:rsid w:val="00487394"/>
    <w:rsid w:val="0049642E"/>
    <w:rsid w:val="004E6743"/>
    <w:rsid w:val="00526FE6"/>
    <w:rsid w:val="00544F8D"/>
    <w:rsid w:val="0057775F"/>
    <w:rsid w:val="005A15D3"/>
    <w:rsid w:val="006444A6"/>
    <w:rsid w:val="006538C7"/>
    <w:rsid w:val="00692D15"/>
    <w:rsid w:val="006F3C9E"/>
    <w:rsid w:val="007667C3"/>
    <w:rsid w:val="00771373"/>
    <w:rsid w:val="0077451A"/>
    <w:rsid w:val="0079398E"/>
    <w:rsid w:val="007A2F90"/>
    <w:rsid w:val="007D23A3"/>
    <w:rsid w:val="00817946"/>
    <w:rsid w:val="008274A3"/>
    <w:rsid w:val="0083248B"/>
    <w:rsid w:val="0086123A"/>
    <w:rsid w:val="00873645"/>
    <w:rsid w:val="008775A1"/>
    <w:rsid w:val="00897919"/>
    <w:rsid w:val="00897E21"/>
    <w:rsid w:val="008B33FE"/>
    <w:rsid w:val="008B6394"/>
    <w:rsid w:val="00907908"/>
    <w:rsid w:val="009577F1"/>
    <w:rsid w:val="009718DB"/>
    <w:rsid w:val="009B65D9"/>
    <w:rsid w:val="009C6F85"/>
    <w:rsid w:val="009F59C1"/>
    <w:rsid w:val="00AA1A17"/>
    <w:rsid w:val="00AB459A"/>
    <w:rsid w:val="00AB6927"/>
    <w:rsid w:val="00B51D69"/>
    <w:rsid w:val="00B66607"/>
    <w:rsid w:val="00B676EB"/>
    <w:rsid w:val="00BA2F41"/>
    <w:rsid w:val="00BA5FAB"/>
    <w:rsid w:val="00BC075E"/>
    <w:rsid w:val="00BC14D8"/>
    <w:rsid w:val="00BE7B70"/>
    <w:rsid w:val="00C03F00"/>
    <w:rsid w:val="00C15C66"/>
    <w:rsid w:val="00C33B70"/>
    <w:rsid w:val="00C342DC"/>
    <w:rsid w:val="00C34403"/>
    <w:rsid w:val="00CC7736"/>
    <w:rsid w:val="00CE4D79"/>
    <w:rsid w:val="00CF0027"/>
    <w:rsid w:val="00D82EA1"/>
    <w:rsid w:val="00DB1849"/>
    <w:rsid w:val="00DB58B9"/>
    <w:rsid w:val="00DC3A7E"/>
    <w:rsid w:val="00DD291F"/>
    <w:rsid w:val="00DF357B"/>
    <w:rsid w:val="00E01767"/>
    <w:rsid w:val="00E110CE"/>
    <w:rsid w:val="00ED0835"/>
    <w:rsid w:val="00ED2515"/>
    <w:rsid w:val="00EF71BE"/>
    <w:rsid w:val="00F02278"/>
    <w:rsid w:val="00F3637F"/>
    <w:rsid w:val="00F365B6"/>
    <w:rsid w:val="00F37DD0"/>
    <w:rsid w:val="00F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AFA05"/>
  <w14:defaultImageDpi w14:val="32767"/>
  <w15:chartTrackingRefBased/>
  <w15:docId w15:val="{D90BF9DF-513B-C141-82E0-3C03E915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3B29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3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17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B2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0176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apple-converted-space">
    <w:name w:val="apple-converted-space"/>
    <w:basedOn w:val="DefaultParagraphFont"/>
    <w:rsid w:val="00E01767"/>
  </w:style>
  <w:style w:type="character" w:styleId="Emphasis">
    <w:name w:val="Emphasis"/>
    <w:basedOn w:val="DefaultParagraphFont"/>
    <w:uiPriority w:val="20"/>
    <w:qFormat/>
    <w:rsid w:val="00E01767"/>
    <w:rPr>
      <w:i/>
      <w:iCs/>
    </w:rPr>
  </w:style>
  <w:style w:type="character" w:styleId="Hyperlink">
    <w:name w:val="Hyperlink"/>
    <w:basedOn w:val="DefaultParagraphFont"/>
    <w:uiPriority w:val="99"/>
    <w:unhideWhenUsed/>
    <w:rsid w:val="00E017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43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01432"/>
  </w:style>
  <w:style w:type="character" w:customStyle="1" w:styleId="Heading1Char">
    <w:name w:val="Heading 1 Char"/>
    <w:basedOn w:val="DefaultParagraphFont"/>
    <w:link w:val="Heading1"/>
    <w:uiPriority w:val="9"/>
    <w:rsid w:val="008B33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prod-title">
    <w:name w:val="prod-title"/>
    <w:basedOn w:val="DefaultParagraphFont"/>
    <w:rsid w:val="008B33FE"/>
  </w:style>
  <w:style w:type="character" w:customStyle="1" w:styleId="published-date">
    <w:name w:val="published-date"/>
    <w:basedOn w:val="DefaultParagraphFont"/>
    <w:rsid w:val="008B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estinme.org/index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2021-07-09T21:06:00Z</dcterms:created>
  <dcterms:modified xsi:type="dcterms:W3CDTF">2021-07-12T10:34:00Z</dcterms:modified>
</cp:coreProperties>
</file>