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0E2E26" w14:paraId="1B65D36F" wp14:textId="31B2669E">
      <w:pPr>
        <w:jc w:val="center"/>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noProof w:val="0"/>
          <w:color w:val="000000" w:themeColor="text1" w:themeTint="FF" w:themeShade="FF"/>
          <w:sz w:val="32"/>
          <w:szCs w:val="32"/>
          <w:lang w:val="en-US"/>
        </w:rPr>
        <w:t>Rational Resoluteness and Intrapersonal Disagreement</w:t>
      </w:r>
    </w:p>
    <w:p xmlns:wp14="http://schemas.microsoft.com/office/word/2010/wordml" w:rsidP="450E2E26" w14:paraId="0C545674" wp14:textId="14014FFB">
      <w:pPr>
        <w:jc w:val="left"/>
        <w:rPr>
          <w:rFonts w:ascii="Palatino" w:hAnsi="Palatino" w:eastAsia="Palatino" w:cs="Palatino"/>
          <w:noProof w:val="0"/>
          <w:color w:val="000000" w:themeColor="text1" w:themeTint="FF" w:themeShade="FF"/>
          <w:sz w:val="24"/>
          <w:szCs w:val="24"/>
          <w:lang w:val="en-US"/>
        </w:rPr>
      </w:pPr>
      <w:r>
        <w:br/>
      </w:r>
      <w:r w:rsidRPr="450E2E26" w:rsidR="5F48DE70">
        <w:rPr>
          <w:rFonts w:ascii="Palatino" w:hAnsi="Palatino" w:eastAsia="Palatino" w:cs="Palatino"/>
          <w:b w:val="1"/>
          <w:bCs w:val="1"/>
          <w:noProof w:val="0"/>
          <w:color w:val="000000" w:themeColor="text1" w:themeTint="FF" w:themeShade="FF"/>
          <w:sz w:val="24"/>
          <w:szCs w:val="24"/>
          <w:lang w:val="en-US"/>
        </w:rPr>
        <w:t>Abstract</w:t>
      </w:r>
      <w:r w:rsidRPr="450E2E26" w:rsidR="5F48DE70">
        <w:rPr>
          <w:rFonts w:ascii="Palatino" w:hAnsi="Palatino" w:eastAsia="Palatino" w:cs="Palatino"/>
          <w:noProof w:val="0"/>
          <w:color w:val="000000" w:themeColor="text1" w:themeTint="FF" w:themeShade="FF"/>
          <w:sz w:val="24"/>
          <w:szCs w:val="24"/>
          <w:lang w:val="en-US"/>
        </w:rPr>
        <w:t>:</w:t>
      </w:r>
    </w:p>
    <w:p xmlns:wp14="http://schemas.microsoft.com/office/word/2010/wordml" w:rsidP="450E2E26" w14:paraId="28F1041B" wp14:textId="380F1051">
      <w:pPr>
        <w:jc w:val="both"/>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noProof w:val="0"/>
          <w:color w:val="000000" w:themeColor="text1" w:themeTint="FF" w:themeShade="FF"/>
          <w:sz w:val="24"/>
          <w:szCs w:val="24"/>
          <w:lang w:val="en-US"/>
        </w:rPr>
        <w:t xml:space="preserve">There is a particular philosophical puzzle associated with rational resoluteness: how can it be rational to remain resolute, when we are liable to judge that we should be irresolute? How can one rationally retain a resolution not to smoke anymore, for example, once one genuinely judges that one should smoke (one last time)? I show how Richard Holton has attempted to resolve this puzzle in favor of rational resoluteness by arguing that our resolutions give us reasons to avoid reconsideration. After considering some problems for Holton’s account, I offer my own response to the puzzle: rational resoluteness via attending to intrapersonal disagreement––disagreement with our own past judgments. I show that this account can explain rational resoluteness in the face of judgment shift, and that it also yields dividends for Holton’s account. Finally, I sketch an argument that, </w:t>
      </w:r>
      <w:r w:rsidRPr="450E2E26" w:rsidR="5F48DE70">
        <w:rPr>
          <w:rFonts w:ascii="Palatino" w:hAnsi="Palatino" w:eastAsia="Palatino" w:cs="Palatino"/>
          <w:i w:val="1"/>
          <w:iCs w:val="1"/>
          <w:noProof w:val="0"/>
          <w:color w:val="000000" w:themeColor="text1" w:themeTint="FF" w:themeShade="FF"/>
          <w:sz w:val="24"/>
          <w:szCs w:val="24"/>
          <w:lang w:val="en-US"/>
        </w:rPr>
        <w:t>pace</w:t>
      </w:r>
      <w:r w:rsidRPr="450E2E26" w:rsidR="5F48DE70">
        <w:rPr>
          <w:rFonts w:ascii="Palatino" w:hAnsi="Palatino" w:eastAsia="Palatino" w:cs="Palatino"/>
          <w:noProof w:val="0"/>
          <w:color w:val="000000" w:themeColor="text1" w:themeTint="FF" w:themeShade="FF"/>
          <w:sz w:val="24"/>
          <w:szCs w:val="24"/>
          <w:lang w:val="en-US"/>
        </w:rPr>
        <w:t xml:space="preserve"> Holton, we are sometimes </w:t>
      </w:r>
      <w:r w:rsidRPr="450E2E26" w:rsidR="5F48DE70">
        <w:rPr>
          <w:rFonts w:ascii="Palatino" w:hAnsi="Palatino" w:eastAsia="Palatino" w:cs="Palatino"/>
          <w:i w:val="1"/>
          <w:iCs w:val="1"/>
          <w:noProof w:val="0"/>
          <w:color w:val="000000" w:themeColor="text1" w:themeTint="FF" w:themeShade="FF"/>
          <w:sz w:val="24"/>
          <w:szCs w:val="24"/>
          <w:lang w:val="en-US"/>
        </w:rPr>
        <w:t>irrational</w:t>
      </w:r>
      <w:r w:rsidRPr="450E2E26" w:rsidR="5F48DE70">
        <w:rPr>
          <w:rFonts w:ascii="Palatino" w:hAnsi="Palatino" w:eastAsia="Palatino" w:cs="Palatino"/>
          <w:noProof w:val="0"/>
          <w:color w:val="000000" w:themeColor="text1" w:themeTint="FF" w:themeShade="FF"/>
          <w:sz w:val="24"/>
          <w:szCs w:val="24"/>
          <w:lang w:val="en-US"/>
        </w:rPr>
        <w:t xml:space="preserve"> to act on our irresolute judgments, because the fact of our irresolute self’s disagreement with our resolute self might generate a normative defeater for our irresolute judgments."</w:t>
      </w:r>
    </w:p>
    <w:p xmlns:wp14="http://schemas.microsoft.com/office/word/2010/wordml" w:rsidP="450E2E26" w14:paraId="08EE177F" wp14:textId="6FC78027">
      <w:pPr>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b w:val="1"/>
          <w:bCs w:val="1"/>
          <w:noProof w:val="0"/>
          <w:color w:val="000000" w:themeColor="text1" w:themeTint="FF" w:themeShade="FF"/>
          <w:sz w:val="24"/>
          <w:szCs w:val="24"/>
          <w:lang w:val="en-US"/>
        </w:rPr>
        <w:t>References</w:t>
      </w:r>
      <w:r w:rsidRPr="450E2E26" w:rsidR="5F48DE70">
        <w:rPr>
          <w:rFonts w:ascii="Palatino" w:hAnsi="Palatino" w:eastAsia="Palatino" w:cs="Palatino"/>
          <w:noProof w:val="0"/>
          <w:color w:val="000000" w:themeColor="text1" w:themeTint="FF" w:themeShade="FF"/>
          <w:sz w:val="24"/>
          <w:szCs w:val="24"/>
          <w:lang w:val="en-US"/>
        </w:rPr>
        <w:t>:</w:t>
      </w:r>
    </w:p>
    <w:p xmlns:wp14="http://schemas.microsoft.com/office/word/2010/wordml" w:rsidP="450E2E26" w14:paraId="11F382CD" wp14:textId="25D88672">
      <w:pPr>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noProof w:val="0"/>
          <w:color w:val="000000" w:themeColor="text1" w:themeTint="FF" w:themeShade="FF"/>
          <w:sz w:val="24"/>
          <w:szCs w:val="24"/>
          <w:lang w:val="en-US"/>
        </w:rPr>
        <w:t xml:space="preserve">Bales, Adam and Toby Handfield. 2021. “Resolutions provide reasons or: ‘how the Cookie Monster quit cookies.’” </w:t>
      </w:r>
      <w:proofErr w:type="spellStart"/>
      <w:r w:rsidRPr="450E2E26" w:rsidR="5F48DE70">
        <w:rPr>
          <w:rFonts w:ascii="Palatino" w:hAnsi="Palatino" w:eastAsia="Palatino" w:cs="Palatino"/>
          <w:i w:val="1"/>
          <w:iCs w:val="1"/>
          <w:noProof w:val="0"/>
          <w:color w:val="000000" w:themeColor="text1" w:themeTint="FF" w:themeShade="FF"/>
          <w:sz w:val="24"/>
          <w:szCs w:val="24"/>
          <w:lang w:val="en-US"/>
        </w:rPr>
        <w:t>Synthese</w:t>
      </w:r>
      <w:proofErr w:type="spellEnd"/>
      <w:r w:rsidRPr="450E2E26" w:rsidR="5F48DE70">
        <w:rPr>
          <w:rFonts w:ascii="Palatino" w:hAnsi="Palatino" w:eastAsia="Palatino" w:cs="Palatino"/>
          <w:noProof w:val="0"/>
          <w:color w:val="000000" w:themeColor="text1" w:themeTint="FF" w:themeShade="FF"/>
          <w:sz w:val="24"/>
          <w:szCs w:val="24"/>
          <w:lang w:val="en-US"/>
        </w:rPr>
        <w:t>.</w:t>
      </w:r>
    </w:p>
    <w:p xmlns:wp14="http://schemas.microsoft.com/office/word/2010/wordml" w:rsidP="450E2E26" w14:paraId="4C380CE1" wp14:textId="3A413B50">
      <w:pPr>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noProof w:val="0"/>
          <w:color w:val="000000" w:themeColor="text1" w:themeTint="FF" w:themeShade="FF"/>
          <w:sz w:val="24"/>
          <w:szCs w:val="24"/>
          <w:lang w:val="en-US"/>
        </w:rPr>
        <w:t xml:space="preserve">Christensen, David. 2010. “Higher-Order Evidence.” </w:t>
      </w:r>
      <w:r w:rsidRPr="450E2E26" w:rsidR="5F48DE70">
        <w:rPr>
          <w:rFonts w:ascii="Palatino" w:hAnsi="Palatino" w:eastAsia="Palatino" w:cs="Palatino"/>
          <w:i w:val="1"/>
          <w:iCs w:val="1"/>
          <w:noProof w:val="0"/>
          <w:color w:val="000000" w:themeColor="text1" w:themeTint="FF" w:themeShade="FF"/>
          <w:sz w:val="24"/>
          <w:szCs w:val="24"/>
          <w:lang w:val="en-US"/>
        </w:rPr>
        <w:t>Philosophy and Phenomenological Research</w:t>
      </w:r>
      <w:r w:rsidRPr="450E2E26" w:rsidR="5F48DE70">
        <w:rPr>
          <w:rFonts w:ascii="Palatino" w:hAnsi="Palatino" w:eastAsia="Palatino" w:cs="Palatino"/>
          <w:noProof w:val="0"/>
          <w:color w:val="000000" w:themeColor="text1" w:themeTint="FF" w:themeShade="FF"/>
          <w:sz w:val="24"/>
          <w:szCs w:val="24"/>
          <w:lang w:val="en-US"/>
        </w:rPr>
        <w:t xml:space="preserve">, </w:t>
      </w:r>
      <w:r w:rsidRPr="450E2E26" w:rsidR="5F48DE70">
        <w:rPr>
          <w:rFonts w:ascii="Palatino" w:hAnsi="Palatino" w:eastAsia="Palatino" w:cs="Palatino"/>
          <w:b w:val="1"/>
          <w:bCs w:val="1"/>
          <w:noProof w:val="0"/>
          <w:color w:val="000000" w:themeColor="text1" w:themeTint="FF" w:themeShade="FF"/>
          <w:sz w:val="24"/>
          <w:szCs w:val="24"/>
          <w:lang w:val="en-US"/>
        </w:rPr>
        <w:t>81</w:t>
      </w:r>
      <w:r w:rsidRPr="450E2E26" w:rsidR="5F48DE70">
        <w:rPr>
          <w:rFonts w:ascii="Palatino" w:hAnsi="Palatino" w:eastAsia="Palatino" w:cs="Palatino"/>
          <w:noProof w:val="0"/>
          <w:color w:val="000000" w:themeColor="text1" w:themeTint="FF" w:themeShade="FF"/>
          <w:sz w:val="24"/>
          <w:szCs w:val="24"/>
          <w:lang w:val="en-US"/>
        </w:rPr>
        <w:t>(1): pp. 185–215.</w:t>
      </w:r>
    </w:p>
    <w:p xmlns:wp14="http://schemas.microsoft.com/office/word/2010/wordml" w:rsidP="450E2E26" w14:paraId="1390D348" wp14:textId="209790E8">
      <w:pPr>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noProof w:val="0"/>
          <w:color w:val="000000" w:themeColor="text1" w:themeTint="FF" w:themeShade="FF"/>
          <w:sz w:val="24"/>
          <w:szCs w:val="24"/>
          <w:lang w:val="en-US"/>
        </w:rPr>
        <w:t xml:space="preserve">Christensen, David. 2018. “On Acting as Judge in One’s Own (Epistemic) Case.” </w:t>
      </w:r>
      <w:r w:rsidRPr="450E2E26" w:rsidR="5F48DE70">
        <w:rPr>
          <w:rFonts w:ascii="Palatino" w:hAnsi="Palatino" w:eastAsia="Palatino" w:cs="Palatino"/>
          <w:i w:val="1"/>
          <w:iCs w:val="1"/>
          <w:noProof w:val="0"/>
          <w:color w:val="000000" w:themeColor="text1" w:themeTint="FF" w:themeShade="FF"/>
          <w:sz w:val="24"/>
          <w:szCs w:val="24"/>
          <w:lang w:val="en-US"/>
        </w:rPr>
        <w:t xml:space="preserve">Proceedings and Addresses </w:t>
      </w:r>
      <w:r w:rsidRPr="450E2E26" w:rsidR="5F48DE70">
        <w:rPr>
          <w:rFonts w:ascii="Palatino" w:hAnsi="Palatino" w:eastAsia="Palatino" w:cs="Palatino"/>
          <w:noProof w:val="0"/>
          <w:color w:val="000000" w:themeColor="text1" w:themeTint="FF" w:themeShade="FF"/>
          <w:sz w:val="24"/>
          <w:szCs w:val="24"/>
          <w:lang w:val="en-US"/>
        </w:rPr>
        <w:t xml:space="preserve">of the American Philosophical Association, </w:t>
      </w:r>
      <w:r w:rsidRPr="450E2E26" w:rsidR="5F48DE70">
        <w:rPr>
          <w:rFonts w:ascii="Palatino" w:hAnsi="Palatino" w:eastAsia="Palatino" w:cs="Palatino"/>
          <w:b w:val="1"/>
          <w:bCs w:val="1"/>
          <w:noProof w:val="0"/>
          <w:color w:val="000000" w:themeColor="text1" w:themeTint="FF" w:themeShade="FF"/>
          <w:sz w:val="24"/>
          <w:szCs w:val="24"/>
          <w:lang w:val="en-US"/>
        </w:rPr>
        <w:t>93</w:t>
      </w:r>
      <w:r w:rsidRPr="450E2E26" w:rsidR="5F48DE70">
        <w:rPr>
          <w:rFonts w:ascii="Palatino" w:hAnsi="Palatino" w:eastAsia="Palatino" w:cs="Palatino"/>
          <w:noProof w:val="0"/>
          <w:color w:val="000000" w:themeColor="text1" w:themeTint="FF" w:themeShade="FF"/>
          <w:sz w:val="24"/>
          <w:szCs w:val="24"/>
          <w:lang w:val="en-US"/>
        </w:rPr>
        <w:t>(1): pp. 207-235.</w:t>
      </w:r>
    </w:p>
    <w:p xmlns:wp14="http://schemas.microsoft.com/office/word/2010/wordml" w:rsidP="450E2E26" w14:paraId="17561B81" wp14:textId="44072288">
      <w:pPr>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noProof w:val="0"/>
          <w:color w:val="000000" w:themeColor="text1" w:themeTint="FF" w:themeShade="FF"/>
          <w:sz w:val="24"/>
          <w:szCs w:val="24"/>
          <w:lang w:val="en-US"/>
        </w:rPr>
        <w:t xml:space="preserve">Finkelstein, Claire. 2008. "Acting on an Intention." In Bruno Verbeek (ed.), </w:t>
      </w:r>
      <w:r w:rsidRPr="450E2E26" w:rsidR="5F48DE70">
        <w:rPr>
          <w:rFonts w:ascii="Palatino" w:hAnsi="Palatino" w:eastAsia="Palatino" w:cs="Palatino"/>
          <w:i w:val="1"/>
          <w:iCs w:val="1"/>
          <w:noProof w:val="0"/>
          <w:color w:val="000000" w:themeColor="text1" w:themeTint="FF" w:themeShade="FF"/>
          <w:sz w:val="24"/>
          <w:szCs w:val="24"/>
          <w:lang w:val="en-US"/>
        </w:rPr>
        <w:t>Reason and Intentions</w:t>
      </w:r>
      <w:r w:rsidRPr="450E2E26" w:rsidR="5F48DE70">
        <w:rPr>
          <w:rFonts w:ascii="Palatino" w:hAnsi="Palatino" w:eastAsia="Palatino" w:cs="Palatino"/>
          <w:noProof w:val="0"/>
          <w:color w:val="000000" w:themeColor="text1" w:themeTint="FF" w:themeShade="FF"/>
          <w:sz w:val="24"/>
          <w:szCs w:val="24"/>
          <w:lang w:val="en-US"/>
        </w:rPr>
        <w:t xml:space="preserve">. Burlington, VT: Ashgate, pp. 67-77. </w:t>
      </w:r>
    </w:p>
    <w:p xmlns:wp14="http://schemas.microsoft.com/office/word/2010/wordml" w:rsidP="450E2E26" w14:paraId="2C078E63" wp14:textId="6464CDE5">
      <w:pPr>
        <w:rPr>
          <w:rFonts w:ascii="Palatino" w:hAnsi="Palatino" w:eastAsia="Palatino" w:cs="Palatino"/>
          <w:noProof w:val="0"/>
          <w:color w:val="000000" w:themeColor="text1" w:themeTint="FF" w:themeShade="FF"/>
          <w:sz w:val="24"/>
          <w:szCs w:val="24"/>
          <w:lang w:val="en-US"/>
        </w:rPr>
      </w:pPr>
      <w:r w:rsidRPr="450E2E26" w:rsidR="5F48DE70">
        <w:rPr>
          <w:rFonts w:ascii="Palatino" w:hAnsi="Palatino" w:eastAsia="Palatino" w:cs="Palatino"/>
          <w:noProof w:val="0"/>
          <w:color w:val="000000" w:themeColor="text1" w:themeTint="FF" w:themeShade="FF"/>
          <w:sz w:val="24"/>
          <w:szCs w:val="24"/>
          <w:lang w:val="en-US"/>
        </w:rPr>
        <w:t xml:space="preserve">Holton, Richard. 2004. “Rational Resolve.” </w:t>
      </w:r>
      <w:r w:rsidRPr="450E2E26" w:rsidR="5F48DE70">
        <w:rPr>
          <w:rFonts w:ascii="Palatino" w:hAnsi="Palatino" w:eastAsia="Palatino" w:cs="Palatino"/>
          <w:i w:val="1"/>
          <w:iCs w:val="1"/>
          <w:noProof w:val="0"/>
          <w:color w:val="000000" w:themeColor="text1" w:themeTint="FF" w:themeShade="FF"/>
          <w:sz w:val="24"/>
          <w:szCs w:val="24"/>
          <w:lang w:val="en-US"/>
        </w:rPr>
        <w:t>The Philosophical Review</w:t>
      </w:r>
      <w:r w:rsidRPr="450E2E26" w:rsidR="5F48DE70">
        <w:rPr>
          <w:rFonts w:ascii="Palatino" w:hAnsi="Palatino" w:eastAsia="Palatino" w:cs="Palatino"/>
          <w:noProof w:val="0"/>
          <w:color w:val="000000" w:themeColor="text1" w:themeTint="FF" w:themeShade="FF"/>
          <w:sz w:val="24"/>
          <w:szCs w:val="24"/>
          <w:lang w:val="en-US"/>
        </w:rPr>
        <w:t xml:space="preserve">, </w:t>
      </w:r>
      <w:r w:rsidRPr="450E2E26" w:rsidR="5F48DE70">
        <w:rPr>
          <w:rFonts w:ascii="Palatino" w:hAnsi="Palatino" w:eastAsia="Palatino" w:cs="Palatino"/>
          <w:b w:val="1"/>
          <w:bCs w:val="1"/>
          <w:noProof w:val="0"/>
          <w:color w:val="000000" w:themeColor="text1" w:themeTint="FF" w:themeShade="FF"/>
          <w:sz w:val="24"/>
          <w:szCs w:val="24"/>
          <w:lang w:val="en-US"/>
        </w:rPr>
        <w:t>113</w:t>
      </w:r>
      <w:r w:rsidRPr="450E2E26" w:rsidR="5F48DE70">
        <w:rPr>
          <w:rFonts w:ascii="Palatino" w:hAnsi="Palatino" w:eastAsia="Palatino" w:cs="Palatino"/>
          <w:noProof w:val="0"/>
          <w:color w:val="000000" w:themeColor="text1" w:themeTint="FF" w:themeShade="FF"/>
          <w:sz w:val="24"/>
          <w:szCs w:val="24"/>
          <w:lang w:val="en-US"/>
        </w:rPr>
        <w:t>(4): pp. 507–535.</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1AD9BD"/>
    <w:rsid w:val="351AD9BD"/>
    <w:rsid w:val="450E2E26"/>
    <w:rsid w:val="5CB5BB7A"/>
    <w:rsid w:val="5F48DE70"/>
    <w:rsid w:val="638D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D9BD"/>
  <w15:chartTrackingRefBased/>
  <w15:docId w15:val="{0D61AC6A-E9C4-4C0C-8F89-93B35D3B65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2021-10-19T02:38:14.1980798Z</dcterms:created>
  <dcterms:modified xsi:type="dcterms:W3CDTF">2021-10-19T02:40:15.7869718Z</dcterms:modified>
  <dc:creator>Dashiell Shulman</dc:creator>
  <lastModifiedBy>Dashiell Shulman</lastModifiedBy>
</coreProperties>
</file>